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3D66F" w14:textId="77777777" w:rsidR="00B83176" w:rsidRPr="00B83176" w:rsidRDefault="00B83176" w:rsidP="00B83176">
      <w:pPr>
        <w:spacing w:before="100" w:beforeAutospacing="1" w:after="100" w:afterAutospacing="1"/>
        <w:jc w:val="center"/>
        <w:outlineLvl w:val="2"/>
        <w:rPr>
          <w:rFonts w:eastAsia="Times New Roman" w:cs="Times New Roman"/>
          <w:b/>
          <w:bCs/>
          <w:kern w:val="0"/>
          <w:sz w:val="26"/>
          <w:szCs w:val="26"/>
          <w:lang w:val="en-US" w:eastAsia="uk-UA"/>
          <w14:ligatures w14:val="none"/>
        </w:rPr>
      </w:pPr>
    </w:p>
    <w:p w14:paraId="47963824" w14:textId="77777777" w:rsidR="00B83176" w:rsidRPr="00B83176" w:rsidRDefault="00B83176" w:rsidP="00B83176">
      <w:pPr>
        <w:spacing w:before="100" w:beforeAutospacing="1" w:after="100" w:afterAutospacing="1"/>
        <w:jc w:val="center"/>
        <w:outlineLvl w:val="2"/>
        <w:rPr>
          <w:rFonts w:eastAsia="Times New Roman" w:cs="Times New Roman"/>
          <w:b/>
          <w:bCs/>
          <w:kern w:val="0"/>
          <w:sz w:val="26"/>
          <w:szCs w:val="26"/>
          <w:lang w:val="en-US" w:eastAsia="uk-UA"/>
          <w14:ligatures w14:val="none"/>
        </w:rPr>
      </w:pPr>
    </w:p>
    <w:p w14:paraId="68F4926B" w14:textId="77777777" w:rsidR="00B83176" w:rsidRPr="00B83176" w:rsidRDefault="00B83176" w:rsidP="00B83176">
      <w:pPr>
        <w:spacing w:before="100" w:beforeAutospacing="1" w:after="100" w:afterAutospacing="1"/>
        <w:jc w:val="center"/>
        <w:outlineLvl w:val="2"/>
        <w:rPr>
          <w:rFonts w:eastAsia="Times New Roman" w:cs="Times New Roman"/>
          <w:b/>
          <w:bCs/>
          <w:kern w:val="0"/>
          <w:sz w:val="26"/>
          <w:szCs w:val="26"/>
          <w:lang w:val="en-US" w:eastAsia="uk-UA"/>
          <w14:ligatures w14:val="none"/>
        </w:rPr>
      </w:pPr>
    </w:p>
    <w:p w14:paraId="09A20ECE" w14:textId="77777777" w:rsidR="00B83176" w:rsidRPr="00B83176" w:rsidRDefault="00B83176" w:rsidP="00B83176">
      <w:pPr>
        <w:spacing w:before="100" w:beforeAutospacing="1" w:after="100" w:afterAutospacing="1"/>
        <w:jc w:val="center"/>
        <w:outlineLvl w:val="2"/>
        <w:rPr>
          <w:rFonts w:eastAsia="Times New Roman" w:cs="Times New Roman"/>
          <w:b/>
          <w:bCs/>
          <w:kern w:val="0"/>
          <w:sz w:val="26"/>
          <w:szCs w:val="26"/>
          <w:lang w:val="en-US" w:eastAsia="uk-UA"/>
          <w14:ligatures w14:val="none"/>
        </w:rPr>
      </w:pPr>
    </w:p>
    <w:p w14:paraId="291EB8F3" w14:textId="77777777" w:rsidR="00B83176" w:rsidRPr="00B83176" w:rsidRDefault="00B83176" w:rsidP="00B83176">
      <w:pPr>
        <w:spacing w:before="100" w:beforeAutospacing="1" w:after="100" w:afterAutospacing="1"/>
        <w:jc w:val="center"/>
        <w:outlineLvl w:val="2"/>
        <w:rPr>
          <w:rFonts w:eastAsia="Times New Roman" w:cs="Times New Roman"/>
          <w:b/>
          <w:bCs/>
          <w:kern w:val="0"/>
          <w:sz w:val="26"/>
          <w:szCs w:val="26"/>
          <w:lang w:val="en-US" w:eastAsia="uk-UA"/>
          <w14:ligatures w14:val="none"/>
        </w:rPr>
      </w:pPr>
    </w:p>
    <w:p w14:paraId="1AA9FA07" w14:textId="77777777" w:rsidR="00B83176" w:rsidRPr="00B83176" w:rsidRDefault="00B83176" w:rsidP="00B83176">
      <w:pPr>
        <w:spacing w:before="100" w:beforeAutospacing="1" w:after="100" w:afterAutospacing="1"/>
        <w:jc w:val="center"/>
        <w:outlineLvl w:val="2"/>
        <w:rPr>
          <w:rFonts w:eastAsia="Times New Roman" w:cs="Times New Roman"/>
          <w:b/>
          <w:bCs/>
          <w:kern w:val="0"/>
          <w:sz w:val="26"/>
          <w:szCs w:val="26"/>
          <w:lang w:val="en-US" w:eastAsia="uk-UA"/>
          <w14:ligatures w14:val="none"/>
        </w:rPr>
      </w:pPr>
    </w:p>
    <w:p w14:paraId="05E9976B" w14:textId="77777777" w:rsidR="00B83176" w:rsidRPr="00B83176" w:rsidRDefault="00B83176" w:rsidP="00B83176">
      <w:pPr>
        <w:spacing w:before="100" w:beforeAutospacing="1" w:after="100" w:afterAutospacing="1"/>
        <w:jc w:val="center"/>
        <w:outlineLvl w:val="2"/>
        <w:rPr>
          <w:rFonts w:eastAsia="Times New Roman" w:cs="Times New Roman"/>
          <w:b/>
          <w:bCs/>
          <w:kern w:val="0"/>
          <w:sz w:val="26"/>
          <w:szCs w:val="26"/>
          <w:lang w:val="en-US" w:eastAsia="uk-UA"/>
          <w14:ligatures w14:val="none"/>
        </w:rPr>
      </w:pPr>
    </w:p>
    <w:p w14:paraId="6D62922D" w14:textId="77777777" w:rsidR="00B83176" w:rsidRPr="00B83176" w:rsidRDefault="00B83176" w:rsidP="00B83176">
      <w:pPr>
        <w:spacing w:before="100" w:beforeAutospacing="1" w:after="100" w:afterAutospacing="1"/>
        <w:jc w:val="center"/>
        <w:outlineLvl w:val="2"/>
        <w:rPr>
          <w:rFonts w:eastAsia="Times New Roman" w:cs="Times New Roman"/>
          <w:b/>
          <w:bCs/>
          <w:kern w:val="0"/>
          <w:sz w:val="26"/>
          <w:szCs w:val="26"/>
          <w:lang w:val="en-US" w:eastAsia="uk-UA"/>
          <w14:ligatures w14:val="none"/>
        </w:rPr>
      </w:pPr>
    </w:p>
    <w:p w14:paraId="798EABED" w14:textId="77777777" w:rsidR="00B83176" w:rsidRPr="00B83176" w:rsidRDefault="00B83176" w:rsidP="00B83176">
      <w:pPr>
        <w:spacing w:before="100" w:beforeAutospacing="1" w:after="100" w:afterAutospacing="1"/>
        <w:jc w:val="center"/>
        <w:outlineLvl w:val="2"/>
        <w:rPr>
          <w:rFonts w:eastAsia="Times New Roman" w:cs="Times New Roman"/>
          <w:b/>
          <w:bCs/>
          <w:kern w:val="0"/>
          <w:sz w:val="26"/>
          <w:szCs w:val="26"/>
          <w:lang w:val="en-US" w:eastAsia="uk-UA"/>
          <w14:ligatures w14:val="none"/>
        </w:rPr>
      </w:pPr>
    </w:p>
    <w:p w14:paraId="71668C5F" w14:textId="77777777" w:rsidR="00B83176" w:rsidRPr="00B83176" w:rsidRDefault="00B83176" w:rsidP="00B83176">
      <w:pPr>
        <w:spacing w:before="100" w:beforeAutospacing="1" w:after="100" w:afterAutospacing="1"/>
        <w:jc w:val="center"/>
        <w:outlineLvl w:val="2"/>
        <w:rPr>
          <w:rFonts w:eastAsia="Times New Roman" w:cs="Times New Roman"/>
          <w:b/>
          <w:bCs/>
          <w:kern w:val="0"/>
          <w:szCs w:val="28"/>
          <w:lang w:val="en-US" w:eastAsia="uk-UA"/>
          <w14:ligatures w14:val="none"/>
        </w:rPr>
      </w:pPr>
      <w:r w:rsidRPr="00B83176">
        <w:rPr>
          <w:rFonts w:eastAsia="Times New Roman" w:cs="Times New Roman"/>
          <w:b/>
          <w:bCs/>
          <w:kern w:val="0"/>
          <w:szCs w:val="28"/>
          <w:lang w:val="en-US" w:eastAsia="uk-UA"/>
          <w14:ligatures w14:val="none"/>
        </w:rPr>
        <w:t>Приватне акціонерне товариство "ЗАВОД "ЧАСIВОЯРСЬКІ АВТОБУСИ "</w:t>
      </w:r>
    </w:p>
    <w:p w14:paraId="0623FA4C" w14:textId="77777777" w:rsidR="00B83176" w:rsidRPr="00B83176" w:rsidRDefault="00B83176" w:rsidP="00B83176">
      <w:pPr>
        <w:spacing w:before="100" w:beforeAutospacing="1" w:after="100" w:afterAutospacing="1"/>
        <w:jc w:val="center"/>
        <w:outlineLvl w:val="2"/>
        <w:rPr>
          <w:rFonts w:eastAsia="Times New Roman" w:cs="Times New Roman"/>
          <w:b/>
          <w:bCs/>
          <w:kern w:val="0"/>
          <w:szCs w:val="28"/>
          <w:lang w:val="en-US" w:eastAsia="uk-UA"/>
          <w14:ligatures w14:val="none"/>
        </w:rPr>
      </w:pPr>
    </w:p>
    <w:p w14:paraId="2D45EABC" w14:textId="77777777" w:rsidR="00B83176" w:rsidRPr="00B83176" w:rsidRDefault="00B83176" w:rsidP="00B83176">
      <w:pPr>
        <w:spacing w:before="100" w:beforeAutospacing="1" w:after="100" w:afterAutospacing="1"/>
        <w:jc w:val="center"/>
        <w:outlineLvl w:val="2"/>
        <w:rPr>
          <w:rFonts w:eastAsia="Times New Roman" w:cs="Times New Roman"/>
          <w:b/>
          <w:bCs/>
          <w:kern w:val="0"/>
          <w:szCs w:val="28"/>
          <w:lang w:val="en-US" w:eastAsia="uk-UA"/>
          <w14:ligatures w14:val="none"/>
        </w:rPr>
      </w:pPr>
    </w:p>
    <w:p w14:paraId="6E4AFFD1" w14:textId="77777777" w:rsidR="00B83176" w:rsidRPr="00B83176" w:rsidRDefault="00B83176" w:rsidP="00B83176">
      <w:pPr>
        <w:spacing w:after="0"/>
        <w:jc w:val="center"/>
        <w:rPr>
          <w:rFonts w:eastAsia="Times New Roman" w:cs="Times New Roman"/>
          <w:b/>
          <w:kern w:val="0"/>
          <w:szCs w:val="28"/>
          <w:lang w:val="uk-UA" w:eastAsia="uk-UA"/>
          <w14:ligatures w14:val="none"/>
        </w:rPr>
      </w:pPr>
      <w:r w:rsidRPr="00B83176">
        <w:rPr>
          <w:rFonts w:eastAsia="Times New Roman" w:cs="Times New Roman"/>
          <w:b/>
          <w:kern w:val="0"/>
          <w:szCs w:val="28"/>
          <w:lang w:val="uk-UA" w:eastAsia="uk-UA"/>
          <w14:ligatures w14:val="none"/>
        </w:rPr>
        <w:t>Звіт керівництва ( звіт про управління )</w:t>
      </w:r>
    </w:p>
    <w:p w14:paraId="4E44E6BE" w14:textId="77777777" w:rsidR="00B83176" w:rsidRPr="00B83176" w:rsidRDefault="00B83176" w:rsidP="00B83176">
      <w:pPr>
        <w:spacing w:after="0"/>
        <w:jc w:val="center"/>
        <w:rPr>
          <w:rFonts w:eastAsia="Times New Roman" w:cs="Times New Roman"/>
          <w:b/>
          <w:kern w:val="0"/>
          <w:szCs w:val="28"/>
          <w:lang w:val="uk-UA" w:eastAsia="uk-UA"/>
          <w14:ligatures w14:val="none"/>
        </w:rPr>
      </w:pPr>
    </w:p>
    <w:p w14:paraId="4454DD91" w14:textId="77777777" w:rsidR="00B83176" w:rsidRPr="00B83176" w:rsidRDefault="00B83176" w:rsidP="00B83176">
      <w:pPr>
        <w:spacing w:after="0"/>
        <w:jc w:val="center"/>
        <w:rPr>
          <w:rFonts w:eastAsia="Times New Roman" w:cs="Times New Roman"/>
          <w:b/>
          <w:kern w:val="0"/>
          <w:szCs w:val="28"/>
          <w:lang w:val="en-US" w:eastAsia="uk-UA"/>
          <w14:ligatures w14:val="none"/>
        </w:rPr>
        <w:sectPr w:rsidR="00B83176" w:rsidRPr="00B83176" w:rsidSect="00B83176">
          <w:pgSz w:w="11906" w:h="16838"/>
          <w:pgMar w:top="851" w:right="567" w:bottom="851" w:left="1418" w:header="709" w:footer="709" w:gutter="0"/>
          <w:cols w:space="708"/>
          <w:docGrid w:linePitch="360"/>
        </w:sectPr>
      </w:pPr>
      <w:r w:rsidRPr="00B83176">
        <w:rPr>
          <w:rFonts w:eastAsia="Times New Roman" w:cs="Times New Roman"/>
          <w:b/>
          <w:kern w:val="0"/>
          <w:szCs w:val="28"/>
          <w:lang w:val="uk-UA" w:eastAsia="uk-UA"/>
          <w14:ligatures w14:val="none"/>
        </w:rPr>
        <w:t xml:space="preserve">станом на </w:t>
      </w:r>
      <w:r w:rsidRPr="00B83176">
        <w:rPr>
          <w:rFonts w:eastAsia="Times New Roman" w:cs="Times New Roman"/>
          <w:b/>
          <w:kern w:val="0"/>
          <w:szCs w:val="28"/>
          <w:lang w:val="en-US" w:eastAsia="uk-UA"/>
          <w14:ligatures w14:val="none"/>
        </w:rPr>
        <w:t>"31" грудня 2025 р.</w:t>
      </w:r>
    </w:p>
    <w:p w14:paraId="06C4D5A7" w14:textId="77777777" w:rsidR="00B83176" w:rsidRPr="00B83176" w:rsidRDefault="00B83176" w:rsidP="00B83176">
      <w:pPr>
        <w:spacing w:after="0"/>
        <w:jc w:val="center"/>
        <w:rPr>
          <w:rFonts w:eastAsia="Times New Roman" w:cs="Times New Roman"/>
          <w:kern w:val="0"/>
          <w:szCs w:val="28"/>
          <w:lang w:val="en-US" w:eastAsia="uk-UA"/>
          <w14:ligatures w14:val="none"/>
        </w:rPr>
      </w:pPr>
    </w:p>
    <w:p w14:paraId="75DEF229" w14:textId="77777777" w:rsidR="00B83176" w:rsidRPr="00B83176" w:rsidRDefault="00B83176" w:rsidP="00B83176">
      <w:pPr>
        <w:widowControl w:val="0"/>
        <w:tabs>
          <w:tab w:val="right" w:pos="7710"/>
          <w:tab w:val="right" w:pos="11514"/>
        </w:tabs>
        <w:suppressAutoHyphens/>
        <w:autoSpaceDE w:val="0"/>
        <w:autoSpaceDN w:val="0"/>
        <w:adjustRightInd w:val="0"/>
        <w:spacing w:after="0" w:line="257" w:lineRule="auto"/>
        <w:textAlignment w:val="center"/>
        <w:rPr>
          <w:rFonts w:eastAsia="Times New Roman" w:cs="Times New Roman"/>
          <w:color w:val="000000"/>
          <w:kern w:val="0"/>
          <w:sz w:val="22"/>
          <w:lang w:val="uk-UA" w:eastAsia="uk-UA"/>
          <w14:ligatures w14:val="none"/>
        </w:rPr>
      </w:pPr>
      <w:r w:rsidRPr="00B83176">
        <w:rPr>
          <w:rFonts w:eastAsia="Times New Roman" w:cs="Times New Roman"/>
          <w:b/>
          <w:color w:val="000000"/>
          <w:kern w:val="0"/>
          <w:sz w:val="22"/>
          <w:lang w:val="uk-UA" w:eastAsia="uk-UA"/>
          <w14:ligatures w14:val="none"/>
        </w:rPr>
        <w:t>1) Звернення до акціонерів/учасників та інших стейкхолдерів від голови ради особи</w:t>
      </w:r>
    </w:p>
    <w:p w14:paraId="04FCF4F3" w14:textId="77777777" w:rsidR="00B83176" w:rsidRPr="00B83176" w:rsidRDefault="00B83176" w:rsidP="00B83176">
      <w:pPr>
        <w:spacing w:after="0"/>
        <w:rPr>
          <w:rFonts w:eastAsia="Times New Roman" w:cs="Times New Roman"/>
          <w:kern w:val="0"/>
          <w:sz w:val="20"/>
          <w:szCs w:val="20"/>
          <w:lang w:eastAsia="uk-UA"/>
          <w14:ligatures w14:val="none"/>
        </w:rPr>
      </w:pPr>
    </w:p>
    <w:p w14:paraId="774DD109"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1.</w:t>
      </w:r>
      <w:r w:rsidRPr="00B83176">
        <w:rPr>
          <w:rFonts w:eastAsia="Times New Roman" w:cs="Times New Roman"/>
          <w:kern w:val="0"/>
          <w:sz w:val="20"/>
          <w:szCs w:val="20"/>
          <w:lang w:val="en-US" w:eastAsia="uk-UA"/>
          <w14:ligatures w14:val="none"/>
        </w:rPr>
        <w:tab/>
        <w:t>ОРГАНІЗАЦІЙНА СТРУКТУРА ТА ОПИС ДІЯЛЬНОСТІ ПІДПРИЄМСТВА</w:t>
      </w:r>
    </w:p>
    <w:p w14:paraId="7F594066"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Історія ПрАТ "Завод "Часiвоярськi автобуси" багата й різноманітна. З моменту свого створення в 1958 році й по теперішній час доля підприємства нерозривно пов'язана з експлуатацією, ремонтом, а також виготовленням автотранспортних засобів. Тому колектив, що там працює, має досить багатий досвід у цій області. У різні роки доводилося зіштовхуватися з капітальними ремонтами автомобілів ГАЗ, ЗИЛ, виготовляти спеціальні транспортні засоби на шасі автомобілів УАЗ. Одними з перших в Україні заводом був освоєний випуск вахтових автомобілів для експлуатації в різних областях народного господарства. Інакше кажучи, завод завжди намагався орієнтувати своє виробництво на потребі, які були актуальними для держави. </w:t>
      </w:r>
    </w:p>
    <w:p w14:paraId="1E088C42"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Незважаючи на ту кризу, що була в автомобілебудуванні України в пострадянський час, ПрАТ "Завод "Часiвоярськi автобуси" зберіг своє виробництво й більше того збільшив обсяги й розширила номенклатуру випускаємої продукції.</w:t>
      </w:r>
    </w:p>
    <w:p w14:paraId="48F9758D"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Сьогодні завод являє собою колектив, що здатний впроваджувати нові конструктивні розробки, застосовувати сучасні матеріали й технологічні процеси. Слід зазначити, що ПрАТ "Завод "Часiвоярськi автобуси" є саме автозаводом, що відрізняється від автоскладального підприємства наявністю таких видів виробництв - ковальсько-пресового, зварювального, фарбувального, складального. Потужності заводу дозволяють випускати до 1500 автобусів на рік. </w:t>
      </w:r>
    </w:p>
    <w:p w14:paraId="251F7731"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Одним з напрямів в період 1993-1998 років було переобладнання легкових автомобілів і виготовлення спеціальних транспортних засобів для служби міськгаза, швидкої допомоги і рятувальників, а саме: </w:t>
      </w:r>
    </w:p>
    <w:p w14:paraId="432C6BE4"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w:t>
      </w:r>
      <w:r w:rsidRPr="00B83176">
        <w:rPr>
          <w:rFonts w:eastAsia="Times New Roman" w:cs="Times New Roman"/>
          <w:kern w:val="0"/>
          <w:sz w:val="20"/>
          <w:szCs w:val="20"/>
          <w:lang w:val="en-US" w:eastAsia="uk-UA"/>
          <w14:ligatures w14:val="none"/>
        </w:rPr>
        <w:tab/>
        <w:t>Установка жорсткого даху на УАЗ-31512;</w:t>
      </w:r>
    </w:p>
    <w:p w14:paraId="1A33E28C"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w:t>
      </w:r>
      <w:r w:rsidRPr="00B83176">
        <w:rPr>
          <w:rFonts w:eastAsia="Times New Roman" w:cs="Times New Roman"/>
          <w:kern w:val="0"/>
          <w:sz w:val="20"/>
          <w:szCs w:val="20"/>
          <w:lang w:val="en-US" w:eastAsia="uk-UA"/>
          <w14:ligatures w14:val="none"/>
        </w:rPr>
        <w:tab/>
        <w:t>Виготовлення лімузинів на базі ГАЗ-3102;</w:t>
      </w:r>
    </w:p>
    <w:p w14:paraId="5386CABB"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w:t>
      </w:r>
      <w:r w:rsidRPr="00B83176">
        <w:rPr>
          <w:rFonts w:eastAsia="Times New Roman" w:cs="Times New Roman"/>
          <w:kern w:val="0"/>
          <w:sz w:val="20"/>
          <w:szCs w:val="20"/>
          <w:lang w:val="en-US" w:eastAsia="uk-UA"/>
          <w14:ligatures w14:val="none"/>
        </w:rPr>
        <w:tab/>
        <w:t>Автомобіль швидкої допомоги;</w:t>
      </w:r>
    </w:p>
    <w:p w14:paraId="751C58C6"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w:t>
      </w:r>
      <w:r w:rsidRPr="00B83176">
        <w:rPr>
          <w:rFonts w:eastAsia="Times New Roman" w:cs="Times New Roman"/>
          <w:kern w:val="0"/>
          <w:sz w:val="20"/>
          <w:szCs w:val="20"/>
          <w:lang w:val="en-US" w:eastAsia="uk-UA"/>
          <w14:ligatures w14:val="none"/>
        </w:rPr>
        <w:tab/>
        <w:t>Автомобіль аварійної газової служби.</w:t>
      </w:r>
    </w:p>
    <w:p w14:paraId="5B8692E6"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Починаючи з 1995 року основною продукцією заводу було виготовлення автобусів малого класу категорії М2, які виконані на шасі ГАЗ 33021 "Газель". Такими моделями є - мікроавтобус СПВ 33021.01-15 місткістю 13 пасажирів і СПВ 33021.01-16 місткістю 13 пасажирів з місцями для сидіння і допускається перевезення 3 стоячих пасажирів.</w:t>
      </w:r>
    </w:p>
    <w:p w14:paraId="54BE5BD8"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При проектуванні стояло завдання створити кузов автобуса нової, оригінальної конструкції, що відповідає вимогам більшості споживачів, - міцність, зручність для пасажирів, безпека, відповідність нормативним вимогам України і конкурентна ціна.</w:t>
      </w:r>
    </w:p>
    <w:p w14:paraId="25D64297"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Так в 1995 році вперше в Україні був створений автобус СПВ-33021. 01-15 на 13+1(водій) посадочне місце. Кузов є зварною конструкцією з прямокутних труб, обшитою зовні сталевим листом і склопластиковими деталями. Зсередини кузов складається з внутрішньої обшивки АБС пластиковими листами, сидіннями з пінополіуретанових подушок, покриття підлоги з автолина. Автобус СПВ 33021.01-15 має ряд оригінальних відмітних ознак, які не зустрінеш ні в одній з існуючих моделей ГАЗ. Велике за площею скління салону і висота в проході (1,77 м) створюють додаткові зручності пасажирам. Вживання склопластикових вузлів і елементів обшивки. Із склопластикових композицій виконані задня і передня частина даху, задній бампер зі вбудованими задніми ліхтарями, бічні накладки колісних арок. Слід зазначити так само властивий автобусним конструкціям каркасний принцип побудови кузова.</w:t>
      </w:r>
    </w:p>
    <w:p w14:paraId="27C55B85"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Автобус СПВ 33021.01-15 забезпечує наступні переваги:</w:t>
      </w:r>
    </w:p>
    <w:p w14:paraId="5954CDCA"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можливість виготовити автобус, повністю відповідний Правилам 52 і ГОСТ 28345-89 (вимоги до конструкції мікроавтобусів);</w:t>
      </w:r>
    </w:p>
    <w:p w14:paraId="25679B5F"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забезпечити високий рівень пасивної безпеки;</w:t>
      </w:r>
    </w:p>
    <w:p w14:paraId="12C04EF3"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"міцний" кузов, що важливе в тяжких міських умовах експлуатації;</w:t>
      </w:r>
    </w:p>
    <w:p w14:paraId="76A18608"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можливість оперативно вносити зміни до конструкції;</w:t>
      </w:r>
    </w:p>
    <w:p w14:paraId="2D9FE53B"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контроль підготовки і забарвлення кузова.</w:t>
      </w:r>
    </w:p>
    <w:p w14:paraId="6A29D9E1"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У серпні 2002 року освоєний випуск нової моделі СПВ 33021.01-16, яка від попередньої "п'ятнадцятої" моделі відрізняється просторішим кузовом, збільшеною висотою усередині салону (1,91м). Така конструкція кузова дозволяє перевозити окрім тринадцяти сидячих пасажирів ще і 3 пасажири, які стоять (всього шістнадцять). Над основними бічними вікнами додатково встановлені розсувні вікна, які поліпшили вентиляцію салону. Зручнішим стало планування розташування сидінь в салоні.</w:t>
      </w:r>
    </w:p>
    <w:p w14:paraId="62987796"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У 2003 році завод отримав дозвіл на подовження шасі, і в тому ж році з воріт заводу виїхав перший дослідний екземпляр автобуса СПВ-17 РУТА. Слід зазначити, що з 2003 року під зареєстрованою торгівельною маркою РУТА стала випускатися вся продукція заводу, у тому числі і розроблена раніше модель СПВ-16.</w:t>
      </w:r>
    </w:p>
    <w:p w14:paraId="0E309015"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Перший дослідний варіант автобуса РУТА СПВ-17 мав кузов, аналогічний попередній моделі подовжений на одну віконну секцію. В той же час, в 2003 році з'явився вантажний фургон РУТА 15,5, конструктивною особливістю цього автомобіля було вживання бічних панелей, тих, що мають мінімальний прогин, що дозволяло найраціональніше заповнювати об'єм усередині кузова. Такий же кузов вирішили використовувати і на серійних машинах РУТА СПВ-17.</w:t>
      </w:r>
    </w:p>
    <w:p w14:paraId="78144041"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Незабаром випуск попередньої моделі РУТА СПВ-16 був припинений, і ПрАТ "Завод "Часiвоярськi автобуси" став виготовляти мікроавтобуси лише з кузовами нового типа. За подальші чотири роки була створена ціла гамма різних моделей автобусів РУТА з подібними кузовами, як на подовженому так і на звичайному шасі. Умовно ці машини можна назвати автобусами РУТА другого покоління. Окрім оригінальних бічних панелей кузова було також вклеєне скло. 2003 рік був важливий в - технологічному плані, за цей рік сталося багато змін - почато використання клею-герметика для монтажу склопластикових елементів кузова, почато використання системи забарвлення для комерційного транспорту Sikkens Autocoat BT, ведуться роботи по оптимізації каркаса кузова, зниженню трудовитрат при виробництві.</w:t>
      </w:r>
    </w:p>
    <w:p w14:paraId="3BF1FA85"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lastRenderedPageBreak/>
        <w:t>Перші автобуси РУТА СПВ-17, що випускаються, мали невеликі вікна, дахи, що значно не досягали по висоті рівня. Між останнім вікном і задньою стінкою кузова залишалася стійка кузова. В середині 2005 року було прийнято рішення про вживання великих панорамних стекол. Іншою відмітною особливістю автобусів РУТА СПВ-17 є пасажирські крісла з оббивкою з міцного шкірозаступника .</w:t>
      </w:r>
    </w:p>
    <w:p w14:paraId="4D24925D"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В 2005 року на заводі прийняли рішення про розширення модельного ряду автобусів, що випускалися. Так з'явилася модель РУТА А0 480. По кузову вона уніфікована із СПВ-17 зразка 2004 роки і відрізняється лише зменшеною довжиною. Але покупці віддали перевагу більш містким СПВ-17, тому число випущених "чотириста восьмидесятих" (так їх називали на заводі) залишилося досить скромним. РУТА А0 480 випускалася на шасі з карбюраторним двигуном ЗМЗ-406, А0 481 - на шасі з інжекторним двигуном ЗМЗ-40522. Цікаво, що автобуси продовжували випускатися з низькими вікнами, запозиченими в ранніх СПВ-17, хоча всі мікроавтобуси з довгою базою випускалися вже з високими віконними отворами. В кінці 2005 року виробництво короткобазних автобусів зупинене зважаючи на відсутність попиту.</w:t>
      </w:r>
    </w:p>
    <w:p w14:paraId="0F0FCFA8"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На початку 2006 року на базі автобуса СПВ-17 було розроблено нове сімейство РУТА А0 482/А0 483 відмітною особливістю якого є збільшена повна маса, що надало можливість перевозити 19 пасажирів які сидять і 3 які стоять. Після проходження сертифікаційних випробувань був виданий сертифікат відповідності на даний автобус, і початий серійний випуск. При цьому сталися деякі зміни в конструкції автобуса - його довжина була збільшена на 200 мм, замість бічної кузовної стійки в задній частині кузова з'явилося п'яте вузьке вікно, а в салоні стали встановлювати індивідуальні сидіння нового типу з велюровою оббивкою. У зв'язку з початком випуску інжекторних двигунів ЗМЗ-405 і їх установкою на базовому шасі "Газелі", завод отримав сертифікат на випуск автобуса А-0483 з автоматичними дверима.</w:t>
      </w:r>
    </w:p>
    <w:p w14:paraId="6C9E19A6"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У зв'язку побажаннями перевізників ефективніше використовувати площу салону а також створити зручність при оплаті проїзду пасажирами водієві (кондуктор в автобусах не передбачений) в 2006 році була розроблена нова модифікація автобусів РУТА, в якої кабіна водія є єдиним приміщенням з пасажирським салоном і відокремлена від нього лише неповною перегородкою за кріслом водія. При цьому якщо на інших моделях кузов вмонтовується на шасі з готовою кабіною від "Газелі", то тут кабіна є частиною оригінального кузова, з кузовних панелей "Газелі" використані лише капот і крила. Іншою відмінністю нової моделі стало розташування дверей аварійного виходу по правій стороні кузова, що дозволило підвищити безпеку перевезень і збільшити жорсткість кузова. Перші зразки нового автобуса, який отримав індекс А0 484, з'явилися на дорогах України влітку 2006 років.</w:t>
      </w:r>
    </w:p>
    <w:p w14:paraId="084AE94C"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З лютого 2007 року автобуси А0 484 стали випускатися також з автоматичними дверима. Згідно нової заводської модифікації вони отримали індекс РУТА 18, де цифра означає кількість місць в салоні згідно сертифікату на транспортний засіб (16 - посадочних, 2 - місця стоячи). За винятком можливості установки автоматичних дверей салону цей автобуса нічим не відрізнявся від А0 484.</w:t>
      </w:r>
    </w:p>
    <w:p w14:paraId="3CE4C2FB"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Виробництво автобуса РУТА 19 почалося восени 2007 років. Від моделі РУТА 18 він відрізняється наявністю других автоматичних дверей в задньому свесе замість аварійної. Кузов автобуса був подовжений, що дозволило розмістити 19 посадочних місць.</w:t>
      </w:r>
    </w:p>
    <w:p w14:paraId="2F18DDC4"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Протягом 2007 року був також налагоджений випуск автобусів РУТА 20 з пневматичними дверима салону і міжміською версією. Остання відрізняється від стандартної машини наявністю багажного відділення в задній частині кузова. Задній ряд сидінь розташований на невеликому подіумі над багажним відділенням. Міжміські автобуси РУТА 20 як правило оснащуються сидіннями з високою спинкою і розпашними дверима салону.</w:t>
      </w:r>
    </w:p>
    <w:p w14:paraId="68008616"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Подальшим розвитком лінійки моделей РУТА 20 і РУТА 19 став випуск в кінці 2008 року моделей РУТА 22 і РУТА 25 із збільшеною місткістю: РУТА 22 - 19 пасажирів сидять і 3 стоять, РУТА 25 - 19 пасажирів сидять і 6 стоять. Так само враховуючи побажання замовників було проведено зміну передній частині автобуса РУТА 25 (зменшено лобове скло, змінені передні крила). Технологія збірки отримала важливий етап - панелі зовнішньої обшивки даху вмонтовуються на клейове з'єднання.</w:t>
      </w:r>
    </w:p>
    <w:p w14:paraId="7724EAAE"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У лютому 2008 року ПрАТ "Завод "Часiвоярськi автобуси"  почав серійне виробництво моделей РУТА 43 і РУТА 44 на шасі ГАЗ-33104 "Валдай". </w:t>
      </w:r>
    </w:p>
    <w:p w14:paraId="5E4C1C9B"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Товариство розширює лінійку автобусів найпопулярнішою моделлю "Рута". Нова модель міського автобуса на 25 місць, оснащена платформою "ГАЗелі-Бізнес" і дизельним двигуном Cummins. Переваг нової марки - економічність, надійність, збільшений міжсервісний інтервал, збільшену потужність нового двигуна Cummins. Поява даного автобуса особливо актуально напередодні набрання чинності закону, що забороняє переобладнання вантажних автобусів у маршрутні таксі. Одна з найпопулярніших марок міських автобусів отримає вдосконалену платформу і турбодизель Cummins. Нове шасі і силовий агрегат "запозичені" у презентованій недавно дизельної "ГАЗелі-Бізнес", що позитивно позначається на якості автобусів "Рута": тепер вони володіють всіма кращими технічними характеристиками, властивими автомобілям ГАЗ з сучасним дизельним двигуном Cummins. </w:t>
      </w:r>
    </w:p>
    <w:p w14:paraId="28F248D7"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Поява дизельної модифікації "ГАЗ" в червні 2012 року стала довгоочікуваною подією для українського ринку. Партнером "Групи ГАЗ" був обраний найбільший у світі незалежний виробник дизельних двигунів - американська компанія Cummins Inc., яка запропонувала новітній і найтехнологічніший в своєму класі силовий агрегат Cummins ISF для малотоннажних вантажівок. Технічні параметри двигуна ідеально підійшли для "ГАЗелі": при робочому обсязі 2,8 л його потужність становить 120 к.с., крутний момент - 297 Нм при 1600-2700 об / хв. Дизель оснащений сучасною системою паливоподачі common rail і турбокомпресором, які забезпечують оптимальне поєднання високої паливної економічності та тягово-динамічних характеристик. Ресурс двигуна - 500 тис. км.</w:t>
      </w:r>
    </w:p>
    <w:p w14:paraId="71E13479"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   2013 рік став роком початку співпраці з новим постачальником автобусного шасі- відомою індійською компанією "Ашок Лейланд Лтд". Влітку 2013 року були виготовлені перші дослідні зразки нового автобусу класу М3 марки Рута 41 та Рута 40. Наприкінці року були завершені сертифікаційні дослідження та випробування і товариство отримало сертифікат відповідності на автобуси Рута 41, Рута 40, Рута 39, побудованих на шасі Ashok Layland 816. На початку 2014 року підприємством була закуплена партія шасі у вигляді машинокомплектів, розроблена технологія та впроваджено складання шасі.Розпочато серійне виготовлення модельної гами автобусів на базі шасі Ashok Layland. У зв'язку з новими вимогами до складу міського громадського транспорту у 2016 році була розроблена та сертифікована модель міського автобусу Марки Рута 23 1 класу з частково низькою підлогою в салоні на базі шасі ГАЗель Next як з бензиновим, так і з дизельним двигуном. Впродовж 2016 року підприємство </w:t>
      </w:r>
      <w:r w:rsidRPr="00B83176">
        <w:rPr>
          <w:rFonts w:eastAsia="Times New Roman" w:cs="Times New Roman"/>
          <w:kern w:val="0"/>
          <w:sz w:val="20"/>
          <w:szCs w:val="20"/>
          <w:lang w:val="en-US" w:eastAsia="uk-UA"/>
          <w14:ligatures w14:val="none"/>
        </w:rPr>
        <w:lastRenderedPageBreak/>
        <w:t>активно працює в напрямку покращення виробничих процесів, покращення та оптимізації якості виготовляємої продукції. У 2018 році  товариство працює над розробкою та впровадженням у виробництво нових моделей автобусів для утримання на ринку виробників автобусів; проводить їх сертифікацію в акредитованих органах відповідно до чинного законодавства України. ПрАТ приступило до розробки нової продкції на базі комплектуючих FORD та  IVEСO (автомобіль,без кузова,незавершенийКТЗ). В 2023 році була виготовлена нова модель автобус РУТА 22С -категорія М2, клас2, євро 6 на базі цельнометалевого фургону IVEСO в наступній комплектації: м'які сидіння з підлокітниками 22одиниці, полиця для легкої поклажі,система кондиціювання салону з двома внутрішніми блоками, опалювач салону 2одн.,тоноване скло пасажирського салону,службові двері з електропри-водом,полиця для легкої поклажі,система кондиціювання салону з двома внутрішніми блоками,опалювач салону 2одн.,тоноване скло пасажирського салону,службові двері з електроприводом. В 2024 році товариство продовжує випуск автобусів РУТА 22, категорія М2, клас 2 на замовлення споживачів, також розробило технічну документацію на виготовлення автобуса РУТА 17Р малого класу на базі цельнометалевого фургона Peugeot для використання на міських і  комерційних перевезеннях та приступило до його виробництва. Ця модель- автобус РУТА 17Р категорія М2, клас А, екологічна норма Євро 6- розрахований на перевезення 16 пасажирів (без водія). В салоні автобуса планується встановлення кондиціонера, сидіння міського типу, опалювач салону рідинного типу та тоноване скло. Автобус виготовлено у березні 2025 року.</w:t>
      </w:r>
    </w:p>
    <w:p w14:paraId="67A6F406"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У зв'язку з розташуванням виробничих потужностей підприємства в зоні бойових дій, визваних агресією Росії проти України і неможливостю проведення господарської діяльності, виробництво було зупинено, частина обладнання вивезено у небезпечне місце. Підприємство орендує нежитлові приміщення будівлі (у зв'язку з евакуацією) для виробничих потреб та відкриту територію для розміщення готової продукції за адресою м. Черкаси, вул. Смілянська, б.169 згідно договору оренди № 1 від 01.12.2023 р.</w:t>
      </w:r>
    </w:p>
    <w:p w14:paraId="0AEC83F1"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2E8E6E66"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Органами управління Товариства  є:</w:t>
      </w:r>
    </w:p>
    <w:p w14:paraId="292DFB39"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Загальні збори Товариства- вищий орган Товариства;</w:t>
      </w:r>
    </w:p>
    <w:p w14:paraId="640B8E13"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Наглядова рада Товариства - наглядовий орган Товариства;  </w:t>
      </w:r>
    </w:p>
    <w:p w14:paraId="2A565CF9"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Директор Товариства - виконавчий орган Товариства.</w:t>
      </w:r>
    </w:p>
    <w:p w14:paraId="4E398FC7"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    У Товаристві діє одноосібний виконавчий орган. Одноосібним виконавчим органом є Директор Товариства - Полосухін Олексій Володимирович. Директор здійснює управління поточною діяльністю Товариства.</w:t>
      </w:r>
    </w:p>
    <w:p w14:paraId="114D9E89"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     Директору  пiдпорядкованi головний бухгалтер, юрисконсульт, відділ кадрів, головний інженер.</w:t>
      </w:r>
    </w:p>
    <w:p w14:paraId="69C7AE0E"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Головному бухгалтеру підпорядкована бухгалтерія.</w:t>
      </w:r>
    </w:p>
    <w:p w14:paraId="2C6D4972"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Головному інженеру підпорядковані:</w:t>
      </w:r>
    </w:p>
    <w:p w14:paraId="77A765A4"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відділ матеріально-технічного постачання,</w:t>
      </w:r>
    </w:p>
    <w:p w14:paraId="6BF32C80"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відділ охорони праці,</w:t>
      </w:r>
    </w:p>
    <w:p w14:paraId="6AFF284D"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структурні підрозділи цеху,</w:t>
      </w:r>
    </w:p>
    <w:p w14:paraId="59BA1146"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інженер з якості,</w:t>
      </w:r>
    </w:p>
    <w:p w14:paraId="52359BA5"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відділ маркетингу та продаж,</w:t>
      </w:r>
    </w:p>
    <w:p w14:paraId="6DA0F463"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виробничо -технічний відділ.</w:t>
      </w:r>
    </w:p>
    <w:p w14:paraId="52CC65F0"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066F784A"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Змін в організаційній структурі у порівнянні з попереднім звітним періодом немає.</w:t>
      </w:r>
    </w:p>
    <w:p w14:paraId="7D666906"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В структурі ПрАТ "Завод "Часівоярські автобуси" дочірніх підприємств, філій, представництв та інших відокремлених структурних підрозділів немає.</w:t>
      </w:r>
    </w:p>
    <w:p w14:paraId="5CD80995"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66F48373"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2. РЕЗУЛЬТАТИ ДІЯЛЬНОСТІ</w:t>
      </w:r>
    </w:p>
    <w:p w14:paraId="4D63C950"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Предметом діяльності Товариства є:</w:t>
      </w:r>
    </w:p>
    <w:p w14:paraId="082EE98B"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Транспорт, перевезення:</w:t>
      </w:r>
    </w:p>
    <w:p w14:paraId="0AC2270E"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закупівля, виробництво і реалізація транспортних засобів, автомобілів вітчизняного й імпортного виробництва, а також запчастин до них, передпродажна підготовка автомобілів;</w:t>
      </w:r>
    </w:p>
    <w:p w14:paraId="55610858"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капітальний ремонт вітчизняних та імпортних автомобілів із заміною вузлів і агрегатів;</w:t>
      </w:r>
    </w:p>
    <w:p w14:paraId="068A0405"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створення станцій технічного обслуговування автомобілів;</w:t>
      </w:r>
    </w:p>
    <w:p w14:paraId="77C8E471"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виробництво власних запасних частин до вітчизняних і імпортних автомобілів;</w:t>
      </w:r>
    </w:p>
    <w:p w14:paraId="70F0BED4"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розробка і впровадження у виробництво нових видів транспорту, напівпричепів і причепів;</w:t>
      </w:r>
    </w:p>
    <w:p w14:paraId="5ED5CDEA"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закупівля документації на створення нових видів транспорту з наступним виготовленням дослідних зразків і наступним серійним випуском цього транспорту;</w:t>
      </w:r>
    </w:p>
    <w:p w14:paraId="4B49706F"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виконання робіт і надання сервісних послуг організаціям і приватним громадянам в області автомобільного транспорту;</w:t>
      </w:r>
    </w:p>
    <w:p w14:paraId="5B6B37C7"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ремонт і сервісне обслуговування автомобілів.</w:t>
      </w:r>
    </w:p>
    <w:p w14:paraId="3B47A4E2"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Господарська діяльність, виробництво та промисловість:</w:t>
      </w:r>
    </w:p>
    <w:p w14:paraId="468D58E7"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розробка, виготовлення та реалізація експериментального устаткування та обладнання;</w:t>
      </w:r>
    </w:p>
    <w:p w14:paraId="379877DA"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впровадження науково-дослідних досягнень, здійснення науково-дослідницьких робіт за новими перспективними технологіями в різних сферах народного господарства;</w:t>
      </w:r>
    </w:p>
    <w:p w14:paraId="6F3AA92E"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організація ремонтно-механічного виробництва;</w:t>
      </w:r>
    </w:p>
    <w:p w14:paraId="38793263"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монтажні, електромонтажні і налагоджувальні роботи;</w:t>
      </w:r>
    </w:p>
    <w:p w14:paraId="1C8ED05E"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виробництво і реалізація побутових приладів і машин;</w:t>
      </w:r>
    </w:p>
    <w:p w14:paraId="2DDC55CE"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виробництво металевих конструкцій і виробів;</w:t>
      </w:r>
    </w:p>
    <w:p w14:paraId="78D48764"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ремонт машин і обладнання.</w:t>
      </w:r>
    </w:p>
    <w:p w14:paraId="0C5AF314"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182C0189"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Основнi види продукції (робіт,послуг) ПрАТ "Завод "Часiвоярськi Автобуси": </w:t>
      </w:r>
    </w:p>
    <w:p w14:paraId="6B43B23E"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модельний ряд продукції марки РУТА;</w:t>
      </w:r>
    </w:p>
    <w:p w14:paraId="1F19EDAF"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виробництво кузовів, причепів на замовлення;</w:t>
      </w:r>
    </w:p>
    <w:p w14:paraId="40C02179"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послуги по технiчному обслуговуванню та ремонту автомобiлiв;</w:t>
      </w:r>
    </w:p>
    <w:p w14:paraId="25D10310"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lastRenderedPageBreak/>
        <w:t>- виробництво деталей з АБС пластику.</w:t>
      </w:r>
    </w:p>
    <w:p w14:paraId="5E6F4A10"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6E792C10"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Назва показників  </w:t>
      </w:r>
      <w:r w:rsidRPr="00B83176">
        <w:rPr>
          <w:rFonts w:eastAsia="Times New Roman" w:cs="Times New Roman"/>
          <w:kern w:val="0"/>
          <w:sz w:val="20"/>
          <w:szCs w:val="20"/>
          <w:lang w:val="en-US" w:eastAsia="uk-UA"/>
          <w14:ligatures w14:val="none"/>
        </w:rPr>
        <w:tab/>
        <w:t xml:space="preserve">                      Од.вим.       Звіт 2025 р.         Звіт 2024 р.      2025р у % до 2024р. </w:t>
      </w:r>
    </w:p>
    <w:p w14:paraId="399C635D"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Обсяг товарної продукції                тис. грн.             3995,1</w:t>
      </w:r>
      <w:r w:rsidRPr="00B83176">
        <w:rPr>
          <w:rFonts w:eastAsia="Times New Roman" w:cs="Times New Roman"/>
          <w:kern w:val="0"/>
          <w:sz w:val="20"/>
          <w:szCs w:val="20"/>
          <w:lang w:val="en-US" w:eastAsia="uk-UA"/>
          <w14:ligatures w14:val="none"/>
        </w:rPr>
        <w:tab/>
        <w:t xml:space="preserve">        4153,4                    96,1</w:t>
      </w:r>
    </w:p>
    <w:p w14:paraId="3F9CC2DF"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Обсяг реалізованої продукції</w:t>
      </w:r>
      <w:r w:rsidRPr="00B83176">
        <w:rPr>
          <w:rFonts w:eastAsia="Times New Roman" w:cs="Times New Roman"/>
          <w:kern w:val="0"/>
          <w:sz w:val="20"/>
          <w:szCs w:val="20"/>
          <w:lang w:val="en-US" w:eastAsia="uk-UA"/>
          <w14:ligatures w14:val="none"/>
        </w:rPr>
        <w:tab/>
        <w:t>тис.грн.              3447,9</w:t>
      </w:r>
      <w:r w:rsidRPr="00B83176">
        <w:rPr>
          <w:rFonts w:eastAsia="Times New Roman" w:cs="Times New Roman"/>
          <w:kern w:val="0"/>
          <w:sz w:val="20"/>
          <w:szCs w:val="20"/>
          <w:lang w:val="en-US" w:eastAsia="uk-UA"/>
          <w14:ligatures w14:val="none"/>
        </w:rPr>
        <w:tab/>
        <w:t xml:space="preserve">        6153,4                    56,0</w:t>
      </w:r>
    </w:p>
    <w:p w14:paraId="7BECC7EA"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Чисельність  працюючих усього</w:t>
      </w:r>
      <w:r w:rsidRPr="00B83176">
        <w:rPr>
          <w:rFonts w:eastAsia="Times New Roman" w:cs="Times New Roman"/>
          <w:kern w:val="0"/>
          <w:sz w:val="20"/>
          <w:szCs w:val="20"/>
          <w:lang w:val="en-US" w:eastAsia="uk-UA"/>
          <w14:ligatures w14:val="none"/>
        </w:rPr>
        <w:tab/>
        <w:t>осіб</w:t>
      </w:r>
      <w:r w:rsidRPr="00B83176">
        <w:rPr>
          <w:rFonts w:eastAsia="Times New Roman" w:cs="Times New Roman"/>
          <w:kern w:val="0"/>
          <w:sz w:val="20"/>
          <w:szCs w:val="20"/>
          <w:lang w:val="en-US" w:eastAsia="uk-UA"/>
          <w14:ligatures w14:val="none"/>
        </w:rPr>
        <w:tab/>
        <w:t xml:space="preserve">                       11</w:t>
      </w:r>
      <w:r w:rsidRPr="00B83176">
        <w:rPr>
          <w:rFonts w:eastAsia="Times New Roman" w:cs="Times New Roman"/>
          <w:kern w:val="0"/>
          <w:sz w:val="20"/>
          <w:szCs w:val="20"/>
          <w:lang w:val="en-US" w:eastAsia="uk-UA"/>
          <w14:ligatures w14:val="none"/>
        </w:rPr>
        <w:tab/>
        <w:t xml:space="preserve">              12</w:t>
      </w:r>
      <w:r w:rsidRPr="00B83176">
        <w:rPr>
          <w:rFonts w:eastAsia="Times New Roman" w:cs="Times New Roman"/>
          <w:kern w:val="0"/>
          <w:sz w:val="20"/>
          <w:szCs w:val="20"/>
          <w:lang w:val="en-US" w:eastAsia="uk-UA"/>
          <w14:ligatures w14:val="none"/>
        </w:rPr>
        <w:tab/>
        <w:t xml:space="preserve">                91,7</w:t>
      </w:r>
    </w:p>
    <w:p w14:paraId="45BE5338"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Середньомісячна  заробітна плата 1-го працюючого  грн.  88157,12      82879,32          106,3</w:t>
      </w:r>
    </w:p>
    <w:p w14:paraId="318B64E2"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4BAA0E43"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55F20A36"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     За підсумками поточного року обсяг виробництва промислової товарної продукції у діючих оптових цінах у 2025 році  склав 3995,1 тис.грн. (за 2024 рік - 4153,4 тис.грн.)., в тому числі по видах:</w:t>
      </w:r>
    </w:p>
    <w:p w14:paraId="417EACB5"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w:t>
      </w:r>
      <w:r w:rsidRPr="00B83176">
        <w:rPr>
          <w:rFonts w:eastAsia="Times New Roman" w:cs="Times New Roman"/>
          <w:kern w:val="0"/>
          <w:sz w:val="20"/>
          <w:szCs w:val="20"/>
          <w:lang w:val="en-US" w:eastAsia="uk-UA"/>
          <w14:ligatures w14:val="none"/>
        </w:rPr>
        <w:tab/>
        <w:t>виробництво автобусів  - 3526,9 тис.грн.;</w:t>
      </w:r>
    </w:p>
    <w:p w14:paraId="33B47598"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w:t>
      </w:r>
      <w:r w:rsidRPr="00B83176">
        <w:rPr>
          <w:rFonts w:eastAsia="Times New Roman" w:cs="Times New Roman"/>
          <w:kern w:val="0"/>
          <w:sz w:val="20"/>
          <w:szCs w:val="20"/>
          <w:lang w:val="en-US" w:eastAsia="uk-UA"/>
          <w14:ligatures w14:val="none"/>
        </w:rPr>
        <w:tab/>
        <w:t>інша готова продукція - 468,2  тис. грн.</w:t>
      </w:r>
    </w:p>
    <w:p w14:paraId="2D1019E4"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    Обсяг реалізованої товарної продукції ПрАТ "Завод "Часівоярські автобуси" у 2025 році склав 3447,9 тис.грн. ( за 2024 рік - 6153,4 тис.грн.), в тому числі по видах:</w:t>
      </w:r>
    </w:p>
    <w:p w14:paraId="5DBE1937"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w:t>
      </w:r>
      <w:r w:rsidRPr="00B83176">
        <w:rPr>
          <w:rFonts w:eastAsia="Times New Roman" w:cs="Times New Roman"/>
          <w:kern w:val="0"/>
          <w:sz w:val="20"/>
          <w:szCs w:val="20"/>
          <w:lang w:val="en-US" w:eastAsia="uk-UA"/>
          <w14:ligatures w14:val="none"/>
        </w:rPr>
        <w:tab/>
        <w:t>автобуси   - 2903,7 тис.грн.;</w:t>
      </w:r>
    </w:p>
    <w:p w14:paraId="60DA4791"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w:t>
      </w:r>
      <w:r w:rsidRPr="00B83176">
        <w:rPr>
          <w:rFonts w:eastAsia="Times New Roman" w:cs="Times New Roman"/>
          <w:kern w:val="0"/>
          <w:sz w:val="20"/>
          <w:szCs w:val="20"/>
          <w:lang w:val="en-US" w:eastAsia="uk-UA"/>
          <w14:ligatures w14:val="none"/>
        </w:rPr>
        <w:tab/>
        <w:t>інша готова продукція - 544,2 тис.грн.</w:t>
      </w:r>
    </w:p>
    <w:p w14:paraId="30F877CB"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      Середньомісячна заробітна плата одного штатного працівника за 2025 рік збільшилася у порівнянні з минулим роком  та склала 88157,12 грн. (у 2024 році - 82879,32 тис.грн.). У наступному 2026 році заробітна плата на одного працівника підприємства поступово зростатиме за рахунок перегляду окладів і тарифів та підвищення додаткової заробітної плати.</w:t>
      </w:r>
    </w:p>
    <w:p w14:paraId="471872B9"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0FF60418"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Основні конкуренти ПрАТ "Завод "Часівоярські автобуси":</w:t>
      </w:r>
    </w:p>
    <w:p w14:paraId="6C07BADF"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Товариство з обмеженою відповідальністю "Завод АВТОСНАБ";</w:t>
      </w:r>
    </w:p>
    <w:p w14:paraId="7F98F904"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2A95FFF9"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Приватне акціонерне товариство "Запорізький автомобілебудівний завод";</w:t>
      </w:r>
    </w:p>
    <w:p w14:paraId="5789AE20"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Акціонерне товариство "Черкаський автобус";</w:t>
      </w:r>
    </w:p>
    <w:p w14:paraId="57E9E414"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Приватне акціонерне товариство "Бориспільський автозавод".</w:t>
      </w:r>
    </w:p>
    <w:p w14:paraId="42DFC708"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1DE349BC"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Основні споживачі продукції підприємства:</w:t>
      </w:r>
    </w:p>
    <w:p w14:paraId="3390843E"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Приватне підприємство "Лідер-Авто";</w:t>
      </w:r>
    </w:p>
    <w:p w14:paraId="4A2E1B49"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Товариство з обмеженою відповідальністю "ІНТЕР АВТО-ТРЕЙДИНГ";</w:t>
      </w:r>
    </w:p>
    <w:p w14:paraId="65D99469"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Товариство з обмеженою відповідальністю  "Камоцці";</w:t>
      </w:r>
    </w:p>
    <w:p w14:paraId="671F78A1"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ФОП Пилипчук Василь Григорович</w:t>
      </w:r>
    </w:p>
    <w:p w14:paraId="3D639553"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30646D04"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Головною споживчою властивістю виробленої продукції є її надійність, низькі затрати на обслуговування  транспортних засобів.</w:t>
      </w:r>
    </w:p>
    <w:p w14:paraId="17B70075"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62993F5A"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Продукція ПрАТ "Завод "Часівоярські  автобуси"</w:t>
      </w:r>
    </w:p>
    <w:p w14:paraId="2C20380A"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---Автобус РУТА 25F (категорія М2, клас II, пасажиромісткість 24)</w:t>
      </w:r>
    </w:p>
    <w:p w14:paraId="6B129107"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Автобус РУТА 25   (категорія М2, клас II,  пасажиромісткість 25)</w:t>
      </w:r>
    </w:p>
    <w:p w14:paraId="425298A1"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---Автобус РУТА 44С (категорія М3, клас II, пасажиромісткість 45)</w:t>
      </w:r>
    </w:p>
    <w:p w14:paraId="75B61F4B"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---Автобус РУТА 22   (категорія М2,  клас II,  пасажиромісткість 24)</w:t>
      </w:r>
    </w:p>
    <w:p w14:paraId="66DB7309"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 Автобус РУТА 40С (категорія М3,  клас I,   пасажиромісткість  44) </w:t>
      </w:r>
    </w:p>
    <w:p w14:paraId="0BD9049A"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Автобус РУТА 33С (категорія М3, клас II, пасажиромісткість 33).</w:t>
      </w:r>
    </w:p>
    <w:p w14:paraId="1F9243BE"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493D818D"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3. ЛІКВІДНІСТЬ ТА ЗОБОВ'ЯЗАННЯ</w:t>
      </w:r>
    </w:p>
    <w:p w14:paraId="579FDA88"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Ліквідність характеризує здатність підприємства швидко перетворити активи на гроші. Оцінюючи ліквідність підприємства, аналізують достатність поточних (оборотних) активів для погашення поточних зобов'язань - короткострокової кредиторської заборгованості. Від ступеня ліквідності балансу залежить платоспроможність підприємства. Основною ознакою ліквідності є формальне перевищення вартості оборотних активів над короткостроковими пасивами. І чим більше це перевищення, тим сприятливіший фінансовий стан має підприємство з позиції ліквідності.</w:t>
      </w:r>
    </w:p>
    <w:p w14:paraId="2A8F8B38"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Актуальність визначення ліквідності балансу набуває особливого значення в умовах економічної нестабільності. Така ж проблема виникає, коли необхідно визначити, чи достатньо в установи коштів для розрахунків з кредиторами, тобто здатність ліквідувати (погасити) заборгованість наявними засобами. В даному випадку під ліквідністю мається на увазі наявність у підприємства оборотних коштів у розмірі, теоретично достатньому для погашення короткострокових зобов'язань.</w:t>
      </w:r>
    </w:p>
    <w:p w14:paraId="5FDCA7D4"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Оцінку ліквідності підприємства виконують за допомогою системи фінансових коефіцієнтів, які дозволяють зіставити вартість поточних активів, що мають різний ступінь ліквідності, із сумою поточних зобов'язань. До них належать:</w:t>
      </w:r>
    </w:p>
    <w:p w14:paraId="2F1F4A9B"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w:t>
      </w:r>
      <w:r w:rsidRPr="00B83176">
        <w:rPr>
          <w:rFonts w:eastAsia="Times New Roman" w:cs="Times New Roman"/>
          <w:kern w:val="0"/>
          <w:sz w:val="20"/>
          <w:szCs w:val="20"/>
          <w:lang w:val="en-US" w:eastAsia="uk-UA"/>
          <w14:ligatures w14:val="none"/>
        </w:rPr>
        <w:tab/>
        <w:t xml:space="preserve">коефіцієнт абсолютної ліквідності; </w:t>
      </w:r>
    </w:p>
    <w:p w14:paraId="5E7DE6F0"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w:t>
      </w:r>
      <w:r w:rsidRPr="00B83176">
        <w:rPr>
          <w:rFonts w:eastAsia="Times New Roman" w:cs="Times New Roman"/>
          <w:kern w:val="0"/>
          <w:sz w:val="20"/>
          <w:szCs w:val="20"/>
          <w:lang w:val="en-US" w:eastAsia="uk-UA"/>
          <w14:ligatures w14:val="none"/>
        </w:rPr>
        <w:tab/>
        <w:t xml:space="preserve">коефіцієнт загальної ліквідності (коефіцієнт покриття); </w:t>
      </w:r>
    </w:p>
    <w:p w14:paraId="1F115BBB"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w:t>
      </w:r>
      <w:r w:rsidRPr="00B83176">
        <w:rPr>
          <w:rFonts w:eastAsia="Times New Roman" w:cs="Times New Roman"/>
          <w:kern w:val="0"/>
          <w:sz w:val="20"/>
          <w:szCs w:val="20"/>
          <w:lang w:val="en-US" w:eastAsia="uk-UA"/>
          <w14:ligatures w14:val="none"/>
        </w:rPr>
        <w:tab/>
        <w:t>коефiцiєнт фінансової стiйкостi (або незалежності);</w:t>
      </w:r>
    </w:p>
    <w:p w14:paraId="77F8E6E7"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w:t>
      </w:r>
      <w:r w:rsidRPr="00B83176">
        <w:rPr>
          <w:rFonts w:eastAsia="Times New Roman" w:cs="Times New Roman"/>
          <w:kern w:val="0"/>
          <w:sz w:val="20"/>
          <w:szCs w:val="20"/>
          <w:lang w:val="en-US" w:eastAsia="uk-UA"/>
          <w14:ligatures w14:val="none"/>
        </w:rPr>
        <w:tab/>
        <w:t xml:space="preserve">коефіцієнт фінансового левериджу (структури капіталу). </w:t>
      </w:r>
    </w:p>
    <w:p w14:paraId="22BF212F"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1968C5E5"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Бюджетного фiнансування пiдприємство не одержувало. </w:t>
      </w:r>
    </w:p>
    <w:p w14:paraId="637C900C"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Фiнансовий стан пiдприємства, його лiквiднiсть i платостпроможнiсть безпосередньо залежать вiд того, наскiльки швидко засоби, вкладенi в активи, перетворюються у "живi" грошi. Аналiзуючи баланс пiдприємства, </w:t>
      </w:r>
      <w:r w:rsidRPr="00B83176">
        <w:rPr>
          <w:rFonts w:eastAsia="Times New Roman" w:cs="Times New Roman"/>
          <w:kern w:val="0"/>
          <w:sz w:val="20"/>
          <w:szCs w:val="20"/>
          <w:lang w:val="en-US" w:eastAsia="uk-UA"/>
          <w14:ligatures w14:val="none"/>
        </w:rPr>
        <w:lastRenderedPageBreak/>
        <w:t>розрахувавши показники платостпоможностi i фiнансової стiйкостi можна зробити наступнi висновки: в цiлому за аналiзований перiод її можна назвати позитивною.</w:t>
      </w:r>
    </w:p>
    <w:p w14:paraId="3CAEFC7E"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1.Коефiцiєнт абсолютної лiквiдностi </w:t>
      </w:r>
    </w:p>
    <w:p w14:paraId="20194957"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К 2021р. = 20353,0/4037,0=5,04</w:t>
      </w:r>
    </w:p>
    <w:p w14:paraId="051F40BD"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К 2022р. = 21790,0/1823,0=11,95</w:t>
      </w:r>
    </w:p>
    <w:p w14:paraId="1B0333A2"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К 2023р. = 12844,0/2416,0=5,31</w:t>
      </w:r>
    </w:p>
    <w:p w14:paraId="64E07E54"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К 2024р. = 15038,0/2432,0=6,18</w:t>
      </w:r>
    </w:p>
    <w:p w14:paraId="135B4A5D"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К 2025р. =22518,0/1227,0=18,35</w:t>
      </w:r>
    </w:p>
    <w:p w14:paraId="30409034"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37E8DA22"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Аналiзуючи коефiцiєнт абсолютної лiквiдностi можна зробити висновок, що пiдприємство протягом останніх років має однакові показники, але це свідчить про достатність грошових коштiв у пiдприємства для негайного погашення поточної кредиторської заборгованостi. </w:t>
      </w:r>
    </w:p>
    <w:p w14:paraId="7B050983"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2. Коефiцiєнт загальної лiквiдностi: </w:t>
      </w:r>
    </w:p>
    <w:p w14:paraId="0B4AEB84"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К 2021р. = 118630,0/4037,0= 29,39</w:t>
      </w:r>
    </w:p>
    <w:p w14:paraId="5439E36B"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К 2022р. = 112594,0/1823,0= 62,76</w:t>
      </w:r>
    </w:p>
    <w:p w14:paraId="4BD6701D"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К 2023р. = 109119,0/2416,0= 45,17</w:t>
      </w:r>
    </w:p>
    <w:p w14:paraId="7C97E61E"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К 2024р. = 108229,0/2432,0= 44,50</w:t>
      </w:r>
    </w:p>
    <w:p w14:paraId="6A640814"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К 2025р.=104520,0/1227,0=85,18</w:t>
      </w:r>
    </w:p>
    <w:p w14:paraId="1A96D8C9"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2807519E"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Аналiз коефiцiєнту загальної лiквiдностi свiдчить, що протягом ряду рокiв у пiдприємства достатньо оборотних коштiв для погашення своїх поточних зобов'язань. </w:t>
      </w:r>
    </w:p>
    <w:p w14:paraId="3BD2CF86"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На кожну позичену гривню пiдприємство має у 2025 році 85,18 грн., 2024році -44,50грн., 2023році- 45,17грн., 2022 році - 62,76грн, 2021 році 29,39грн. власних коштів.</w:t>
      </w:r>
    </w:p>
    <w:p w14:paraId="21701934"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6483AB57"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3. Коефiцiєнт фiнансової стiйкостi (норма &gt; 0.5): </w:t>
      </w:r>
    </w:p>
    <w:p w14:paraId="2A512570"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К 2021р. = 119843,0/123880,0= 0,96</w:t>
      </w:r>
    </w:p>
    <w:p w14:paraId="061604B2"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К 2022р. = 115 856,0/117679,0=0,98</w:t>
      </w:r>
    </w:p>
    <w:p w14:paraId="15BECD53"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К 2023р. = 106703,0/109119,0=0,98</w:t>
      </w:r>
    </w:p>
    <w:p w14:paraId="53D7A685"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К 2024р. = 103023,0/108229,0=0,95</w:t>
      </w:r>
    </w:p>
    <w:p w14:paraId="131C0D18"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К 2025р.= 100519,0/104520,0=0,96</w:t>
      </w:r>
    </w:p>
    <w:p w14:paraId="362EFDDA"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43CD6D83"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Аналiзуючи коефiцiєнт фiнансової стiйкостi, можна зробити висновок, що цей показник за останнi роки знаходиться у межах позитивного значення, i свiдчить про досягнення оптимального спiвiдношення власних i позикових коштiв.</w:t>
      </w:r>
    </w:p>
    <w:p w14:paraId="3AEF01D9"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7E26B1B4"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ab/>
        <w:t xml:space="preserve">4. Коефiцiєнт структури капiталу: </w:t>
      </w:r>
    </w:p>
    <w:p w14:paraId="2D7C385C"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К 2021р. = 4037,0/119843,0= 0,034</w:t>
      </w:r>
    </w:p>
    <w:p w14:paraId="118ADF8A"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К 2022р. = 1823,0/115856,0=0,02</w:t>
      </w:r>
    </w:p>
    <w:p w14:paraId="17AE7ADD"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К 2023р. = 2416,0/109119,0= 0,02</w:t>
      </w:r>
    </w:p>
    <w:p w14:paraId="1BAC3FF0"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К 2024р. =2432,0/108229,0=0,02</w:t>
      </w:r>
    </w:p>
    <w:p w14:paraId="3A1D90E3"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К 2025р. = 1227,0/104520,0=-0,01</w:t>
      </w:r>
    </w:p>
    <w:p w14:paraId="1B4C1EDF"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Коефiцiєнт структури капiталу за останнi рокiв значно нижче рекомендованого нормативне значення. Коефiцiєнт свiдчить, що у фiнансового-господарськiй дiяльностi пiдприємства у 2021-2025 роцi брали участь власні кошти. </w:t>
      </w:r>
    </w:p>
    <w:p w14:paraId="524912A6"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На пiдставi проведеного аналiзу можна вiдзначити, що фiнансовий стан пiдприємства в цiлому стабiльний. Однак лiквiднiсть слiд пiдвищувати, адже чим вищi показники лiквiдностi, тим вища мiцнiсть пiдприємства. Для цього необхiдно постiйно засвоювати новi методи та технiку управлiння, вдосконалювати структуру управлiння, продумувати i планувати полiтику цiноутворення, знаходити резерви по зниженню витрат на виробництво, активно займатися плануванням i прогнозуванням управлiння фiнансiв пiдприємства. Робочого капiталу достатньо для потреб пiдприємства. </w:t>
      </w:r>
    </w:p>
    <w:p w14:paraId="585D48A3"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Можливими шляхами покращення лiквiдностi можуть бути: </w:t>
      </w:r>
    </w:p>
    <w:p w14:paraId="0DB8895B"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1. Реалiзацiя залишкiв виготовленої продукцiї платоспроможнiм покупцям </w:t>
      </w:r>
    </w:p>
    <w:p w14:paraId="7B7A305C"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2. Пошук i дослiдження нових ринкiв збуту </w:t>
      </w:r>
    </w:p>
    <w:p w14:paraId="199E447E"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3. Розширення високорентабельної номенклатури продукцiї для поставок </w:t>
      </w:r>
    </w:p>
    <w:p w14:paraId="67B64E0B"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4. Виконання розроблених заходiв по зниженню собiвартостi продукцiї </w:t>
      </w:r>
    </w:p>
    <w:p w14:paraId="57DCE5A5"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5. Впровадження програми контролю собiвартостi продукцiї в процесi технологiчного циклу її виготовлення.</w:t>
      </w:r>
    </w:p>
    <w:p w14:paraId="5062C920"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4. ЕКОЛОГІЧНІ АСПЕКТИ</w:t>
      </w:r>
    </w:p>
    <w:p w14:paraId="78CAB6D3"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Згідно закону України "Про охорону навколишнього середовища" - природоохоронна діяльність підприємства направлена на зниження, або повне усунення забруднення атмосферного повітря, земельних ресурсів від негативних дій технологічних процесів виготовлення промислової продукції.</w:t>
      </w:r>
    </w:p>
    <w:p w14:paraId="13D4B391"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       ПрАТ "Завод "Часівоярські автобуси"  усвідомлює, що його функціонування не повинно призводити до негативних змін у навколишньому середовищі і негативно впливати на здоров'я людини. Мінімізація негативного впливу і забезпечення екологічної безпеки є одними з найважливіших пріоритетів діяльності Товариства.</w:t>
      </w:r>
    </w:p>
    <w:p w14:paraId="61F97F57"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Стратегічною метою екологічної політики є забезпечення екологічно орієнтованого розвитку Товариства при підтримці високого рівня екологічної безпеки та зниження екологічних ризиків, пов'язаних із здійсненням своєї діяльності, а також ефективний контроль за екологічними аспектами, досягнення найкращих показників по зниженню аварійності, скорочення втрат енергоносіїв, зменшення негативного впливу на навколишнє середовище та раціональне використання природних ресурсів.</w:t>
      </w:r>
    </w:p>
    <w:p w14:paraId="3B971941"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      У сфері охорони навколишнього природного середовища - охороні атмосферного повітря також щорічно проводяться заходи по моніторингу викидів забруднюючих речовин від стаціонарних джерел викидів згідно </w:t>
      </w:r>
      <w:r w:rsidRPr="00B83176">
        <w:rPr>
          <w:rFonts w:eastAsia="Times New Roman" w:cs="Times New Roman"/>
          <w:kern w:val="0"/>
          <w:sz w:val="20"/>
          <w:szCs w:val="20"/>
          <w:lang w:val="en-US" w:eastAsia="uk-UA"/>
          <w14:ligatures w14:val="none"/>
        </w:rPr>
        <w:lastRenderedPageBreak/>
        <w:t>діючого дозволу на викиди забруднюючих речовин, виданого та узгодженого Держуправлінням охорони навколишнього природного середовища в Донецькій області від 13.07.2012 р.</w:t>
      </w:r>
    </w:p>
    <w:p w14:paraId="2EB094A0"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      Згідно з умовами щодо охорони атмосферного повітря, встановленими в діючому дозволі на викиди, на підприємстві щорічно проводиться моніторинг та аналіз кожного окремого виду викидів забруднюючих речовин, які підлягають регулюванню для здійснення контролю за не перевищенням гранично допустимих рівнів дозволених викидів та відсутністю інших видів викидів в атмосферу, що чинять суттєвий вплив на навколишнє середовище. Постійно на підприємстві проводяться ремонтні та налагоджувальні роботи вентиляційних систем, що дозволяє дотримуватися проектних вимог по ефективності роботи такого обладнання.</w:t>
      </w:r>
    </w:p>
    <w:p w14:paraId="474298F0"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У 2025 році підприємство скористалося змінами до Податкового кодексу України та інших законодавчих актів України щодо вдосконалення законодавства на період дії воєнного стану: "Відповідно до підпункту 69.16 пункту 69 підрозділу 10 розділу ХХ "Перехідні положення" Податкового кодексу України (далі - Кодекс) тимчасово, з 1 січня 2022 року по 31 грудня року, в якому припинено чи скасовано воєнний стан, введений Указом Президента України "Про введення воєнного стану в Україні" від 24 лютого 2022 року № 64/2022, затвердженим Законом України "Про затвердження Указу Президента України "Про введення воєнного стану в Україні" від 24 лютого 2022 року № 2102-ІХ, не нараховується та не сплачується екологічний податок платниками цього податку, зареєстрованими (взятими на облік) за місцем розміщення стаціонарних джерел забруднення, за утворення радіоактивних відходів та тимчасове зберігання радіоактивних відходів на територіях, на яких ведуться (велися) бойові дії, та на територіях, тимчасово окупованих збройними формуваннями Російської Федерації"     </w:t>
      </w:r>
    </w:p>
    <w:p w14:paraId="60F20EB8"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412B9963"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5. СОЦІАЛЬНІ АСПЕКТИ ТА КАДРОВА ПОЛІТИКА</w:t>
      </w:r>
    </w:p>
    <w:p w14:paraId="40A83E10"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Середньооблiкова кiлькiсть штатних працiвникiв за 2025 р. склала 11 осіб. Облiкова кiлькiсть штатних працiвникiв на кiнець звiтного перiоду склала 12 осіб.</w:t>
      </w:r>
    </w:p>
    <w:p w14:paraId="1161B026"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Середня  кiлькiсть  позаштатних працiвникiв   (працюючi за цивiльно-правовими договорами та зовнiшнi сумiсники) - 1 особа.</w:t>
      </w:r>
    </w:p>
    <w:p w14:paraId="6BAF6E74"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  Фонд оплати працi штатних працівників склав у 2025р.-11636,7 тис. грн., що більше нiж фонд оплати працi у 2024р.- 10995,0тис. грн. Збільшення фонду оплати працi пов'язано з підвищенням мінімальної зарплати і переглядом тарифної сітки та окладів,також збільшився фонд додаткової заробітної плати.</w:t>
      </w:r>
    </w:p>
    <w:p w14:paraId="442D5160"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1997A5D2"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69C129E0"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3270663E"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Кадрова полiтика підприємства</w:t>
      </w:r>
    </w:p>
    <w:p w14:paraId="1D0F39A2"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6C22BEE9"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ab/>
        <w:t>Пiдборка кадрiв ПрАТ "Завод "Часiвоярськi автобуси" за допомогою  зовнiшнього набору здiйснюється через  взаємодiю iз центрами зайнятостi, засобами масової iнформацiї,  навчальними закладами, що спецiалiзуються на пiдготовцi кадрiв автомобiльної галузi.</w:t>
      </w:r>
    </w:p>
    <w:p w14:paraId="0C02E04B"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ab/>
        <w:t>Пiдбор кадрiв i пошук претендентiв на вiльну вакансiю здiйснюється за допомогою внутрiшнього й зовнiшнього набору на пiдставi Заявок на вiльну вакансiю, якi складаються керiвниками пiдроздiлiв при їхнiй потребi у робiтнику (фахiвцi).</w:t>
      </w:r>
    </w:p>
    <w:p w14:paraId="6563433C"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ab/>
        <w:t>Пiдбор кадрiв за допомогою внутрiшнього набору здiйснює інспектор з кадрiв, а також керiвники структурних пiдроздiлiв з найбiльш пiдходящих кандидатур резерву, створеного в ходi набору. Оформлення трудових вiдносин здiйснює iнспектор вiддiлу кадрiв у строгiй вiдповiдност iiз трудовим законодавством.</w:t>
      </w:r>
    </w:p>
    <w:p w14:paraId="2C173229"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ab/>
        <w:t>Інспектор з кадрiв проводить спiвбесiду й аналiздокументiв  претендента, у результатi якого визначає його вiдповiднiсть необхiдної вiльної вакансiї вiдповiдно до заявки й посадовiй iнструкцiї, трудову правоздатнiсть, рiвень професiйної пiдготовки, квалiфiкацiї, практичного досвiду, а також досвiду керiвної роботи. У випадку позитивного рiшення про розгляд кандидатури, претендент    направляється до начальника пiдроздiлу, що проводить спiвбесiду на профпригодність. Прийом на посаду, що передбачає повну матерiальну вiдповiдальнiсть,   здiйснюється  на пiдставi рiшення атестацiйної комiсiї  .</w:t>
      </w:r>
    </w:p>
    <w:p w14:paraId="10EC0ED0"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ab/>
        <w:t>Аналiз складу дiлових i iнших особистих якостей працiвникiв з метою їхнього рацiонального розмiщення, пiдбора кадрiв на замiщення посад,  пiдвищення освiтнього й квалiфiкацiйного рiвня, а також подання директору товариства пропозицiй по полiпшенню розмiщення й використанню кадрiв, здiйснюється в процесi проведення атестацiї робiтникiв, начальників  i  фахiвцiв заводу. Пiдготовка й пiдвищення квалiфiкацiї кадрiв проводиться з метою навчання знову прийнятих робiтникiв професiям, якi необхiднi заводу, а також для пiдвищення технiчних i економiчних знань робiтникiв, фахiвцiв при вивченнi нової технiки, технологiї й органiзацiї виробництва.</w:t>
      </w:r>
    </w:p>
    <w:p w14:paraId="4B00F2B7"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ab/>
        <w:t>Навчання з питань пiдвищення якостi продукцiї й системи забезпечення якостi органiзується спочатку для всiх категорiй працiвникiв заводу, а надалi для знову вступникiв кадрiв у мiру вдосконалювання системи забезпечення якостi продукцiї.</w:t>
      </w:r>
    </w:p>
    <w:p w14:paraId="7E6C364F"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186C811E"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Мiж ПрАТ "Завод "Часiвоярськi автобуси" в особi директора  Полосухiна О. В., з однiєї сторони (надалі-роботодавець) i профспiлковим комiтетом ПрАТ "Завод "Часiвоярськi автобуси"  в особi голови профкому,який представляє інтереси працівників,  укладений Колективний договiр.</w:t>
      </w:r>
    </w:p>
    <w:p w14:paraId="15A21EAA"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Колективний договiр укладений на пiдставi чиного законодавства, генеральних i галузевого тарифних угод, прийнятих сторонами зобов'язань iз метою регулювання усіх виробничих, трудових, соцiально-економiчних вiдносин, а також узгодження iнтересiв трудящих, власникiв i уповноважених ними органiв.</w:t>
      </w:r>
    </w:p>
    <w:p w14:paraId="077F0D2B"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Положення й норми договору розробленi на пiдставi Кодексу законiв про працю України, Закону України "Про колективнi договори й угоди", галузевої угоди.</w:t>
      </w:r>
    </w:p>
    <w:p w14:paraId="3028E0F2"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Дія Колективного договору поширюється на всiх працівників підприємства, незалежно вiд  їх   належності до профспiлкової чи іншої громадської організації тощо. Сторонами Колективного договору прийнятi наступнi умови оплати працi:</w:t>
      </w:r>
    </w:p>
    <w:p w14:paraId="2B4A71D7"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-для працiвникiв основного виробництва установлюється вiдрядна система оплати праці;</w:t>
      </w:r>
    </w:p>
    <w:p w14:paraId="61FE1B59"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-для працiвникiв допомiжних служб установлюється погодинна система оплати працi.</w:t>
      </w:r>
    </w:p>
    <w:p w14:paraId="6C6C01CB"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lastRenderedPageBreak/>
        <w:t>Для виконання невiдкладних i аварiйних робiт передбачається акордна система оплати працi.</w:t>
      </w:r>
    </w:p>
    <w:p w14:paraId="068DA822"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3.Оплату працi працюючих провадити в наступному порядку :</w:t>
      </w:r>
    </w:p>
    <w:p w14:paraId="0377DCAC"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робiтникiв - вiдрядникiв вiдповiдно до дiючих розцiнок, розробленими на основi тарифних ставок вiдповiдного розряду, вiдповiдно до галузевої тарифної Угоди й Закону " Про оплату працi";</w:t>
      </w:r>
    </w:p>
    <w:p w14:paraId="28596E6E"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робiтникам-почасовикам по годинних тарифних ставках i встановлених окладах за фактично вiдпрацьований час;</w:t>
      </w:r>
    </w:p>
    <w:p w14:paraId="09EE316E"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керiвникам, спеціалістам і службовцям по посадових окладах вiдповiдно до затвердженого штатного розкладу.</w:t>
      </w:r>
    </w:p>
    <w:p w14:paraId="11EAF6AC"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Установити єдинiгодиннi тарифнi ставки  для робочих вiдрядникiв i робiтникiв-повременщиків.</w:t>
      </w:r>
    </w:p>
    <w:p w14:paraId="7E05D050"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Окремим висококвалiфiкованим фахiвцямiз числа робiтникiв може встановлюватися оклад.</w:t>
      </w:r>
    </w:p>
    <w:p w14:paraId="4015973B"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Практикувати  сумiщення професiй ( посад ), розширення зони обслуговування й виконання обов'язкiв тимчасово вiдсутнiх працiвникiв.</w:t>
      </w:r>
    </w:p>
    <w:p w14:paraId="17578A2D"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Робiтникам, зайнятим на роботах з важкими й шкiдливими умовами працiвiдповiдно до атестацiї робочих мiсць, установити доплати у вiдсотках до тарифної ставки , посадовому окладу.</w:t>
      </w:r>
    </w:p>
    <w:p w14:paraId="145CAEBA"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42A7C8E5"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Охорона праці </w:t>
      </w:r>
    </w:p>
    <w:p w14:paraId="39D2E34A"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6A666F83"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  На ПрАТ "ЗАВОД "ЧАСІВОЯРСЬКІ АВТОБУСИ" робота по охороні праці спрямована на підвищення рівня безпеки виробництва, на попередження виробничого травматизму і професійних захворювань. </w:t>
      </w:r>
    </w:p>
    <w:p w14:paraId="76D0E86D"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У 2025 році на підприємстві нещасних випадків, пов'язаних з виробництвом, і випадків професійної захворюваності не було. За звітний період було 0 випадків невиробничого (побутового) травматизму. </w:t>
      </w:r>
    </w:p>
    <w:p w14:paraId="477196C2"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6BB15F60"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Періодичний медичний огляд у 2025 році працівники не проходили.</w:t>
      </w:r>
    </w:p>
    <w:p w14:paraId="0EA4C9FC"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Із коштів, виділених на охорону праці, використано - 12,6  тис. грн : з них: </w:t>
      </w:r>
    </w:p>
    <w:p w14:paraId="62E56F6F"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 на придбання миючих засобів, для забезпечення кімнат загального користування, прання спецодягу відповідно до ст. 8 Закону України "Про охорону праці" і згідно Колективного договору - 1,0 тис.грн.; </w:t>
      </w:r>
    </w:p>
    <w:p w14:paraId="16F0D995"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на придбання спецодягу, спецвзутті і інших засобів індивідуального захисту відповідно до ст. 8 Закону України "Про охорону праці" і згідно з Колективною угодою - 11,6 тис.грн.</w:t>
      </w:r>
    </w:p>
    <w:p w14:paraId="30D7DDF4"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w:t>
      </w:r>
    </w:p>
    <w:p w14:paraId="646AB5A7"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З інших джерел фінансування - 104,9 тис.грн., з них: </w:t>
      </w:r>
    </w:p>
    <w:p w14:paraId="6CC7A39A"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 на придбання  дров для температурного режиму на робочих місцях - 104,9 тис.грн. </w:t>
      </w:r>
    </w:p>
    <w:p w14:paraId="41DC4647"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      Всього сумарні витрати по ПрАТ "ЗАВОД "ЧАСІВОЯРСЬКІ АВТОБУСИ" на усі заходи по охороні праці з усіх джерел за 2025 рік склали - 117,5 тис.грн.</w:t>
      </w:r>
    </w:p>
    <w:p w14:paraId="3A80EB09"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Витрати на охорону праці від фонду оплати праці в 2025 році:</w:t>
      </w:r>
    </w:p>
    <w:p w14:paraId="7EC5788E"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витрати на охорону праці у 2025 році - 117,5 тис.грн.</w:t>
      </w:r>
    </w:p>
    <w:p w14:paraId="78AED9F1"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фонд оплати праці за попередній рік -11636,7 тис.грн.</w:t>
      </w:r>
    </w:p>
    <w:p w14:paraId="66EBE437"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відсотковий вміст на охорону праці -1,0</w:t>
      </w:r>
    </w:p>
    <w:p w14:paraId="029F00F4"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28F4447E"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Витрати на охорону праці на одного працюючого в 2025 році:</w:t>
      </w:r>
    </w:p>
    <w:p w14:paraId="3DF463ED"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витрати на охорону праці у 2025 році - 117,5 тис.грн.</w:t>
      </w:r>
    </w:p>
    <w:p w14:paraId="63AA56E2"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середньооблікова чисельність робітників- 12</w:t>
      </w:r>
    </w:p>
    <w:p w14:paraId="18D40980"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витрати на охорону праці на одного працюючого - 979,17 грн</w:t>
      </w:r>
    </w:p>
    <w:p w14:paraId="197D2E79"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     З метою створення здорових і безпечних умов праці, на підприємстві розроблені за узгодженням з профспілковою організацією і забезпечено виконання комплексних заходів по досягненню встановлених нормативів безпеки, гігієни праці і виробничого середовища, підвищення існуючого рівня охорони праці, відвертання випадків виробничого травматизму, професійних захворювань і аварій. Усі внесені у Колективний договір заходи повністю виконані. Забезпечувався стійкий температурний режим у виробничих приміщеннях згідно зі встановленими нормами. </w:t>
      </w:r>
    </w:p>
    <w:p w14:paraId="726C898F"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При укладенні трудового договору новоприбулі працівники інформуються під розпис про умови праці, наявності на робочих місцях шкідливих і небезпечних виробничих чинників, можливі наслідки їх впливу на здоров'ї, а також про їх права на пільги і компенсації за роботу в таких умовах. За результатами атестації робочих місць в умовах шкідливих виробничих чинників у 2025 році працював1 робітник, в т.ч. 0 жінок. Додаткові відпустки надаються 1 робітнику, в т.ч. 0 жінкам, доплати отримує 1 чоловік, в т.ч. 0 жінок. </w:t>
      </w:r>
    </w:p>
    <w:p w14:paraId="48E6163B"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Кількість випадків непрацездатності по захворюваності за звітний період склала 14.</w:t>
      </w:r>
    </w:p>
    <w:p w14:paraId="3DEFA2D6"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Витрати на охорону праці в 2025 році склали 1,0% від фонду оплати праці за попередній рік при нормі не менше 0,5%. Витрати на охорону праці з розрахунку на одного працюючого склали 979,17 грн.</w:t>
      </w:r>
    </w:p>
    <w:p w14:paraId="2D46B792"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       На підприємстві створені і ефективно діють система управління охороною праці та її складова частина - система суцільного контролю за станом охорони праці; система постійного та безперервного навчання робітників; система організації безпечного виконання робіт з підвищеною небезпекою; система організації проведення медичних оглядів; система необхідного документознавства для забезпечення безпечного виконання робіт з підвищеною небезпекою, експлуатації обладнання, машин, механізмів, об'єктів; система технічних оглядів, експертних обстежень, діагностики та випробувань устаткування підвищеної небезпеки; та інші. </w:t>
      </w:r>
    </w:p>
    <w:p w14:paraId="0CFD2EFD"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6800564E"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6. РИЗИКИ</w:t>
      </w:r>
    </w:p>
    <w:p w14:paraId="6FFBE997"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На господарську дiяльнiсть емiтента впливає різноманітні фактори. А саме:</w:t>
      </w:r>
    </w:p>
    <w:p w14:paraId="2E3D3E57"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  вплив виконавчої влади на ведення пiдприємницької дiяльностi шляхом прийняття законодавчих актiв, обмежуючих свободу підприємництва  та встановлення акцизного збору для виробників автобусів створили складнi умови для роботи Товариства у 2025 р. </w:t>
      </w:r>
    </w:p>
    <w:p w14:paraId="7E8D6C70"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частi змiни в законодавствi по оподаткуванню юридичних та фiзичних осiб;</w:t>
      </w:r>
    </w:p>
    <w:p w14:paraId="128606EA"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вiдсутнiсть реальної пiдтримки конкуренцiї, наявнiсть несучасного обладнання;</w:t>
      </w:r>
    </w:p>
    <w:p w14:paraId="3AC40D29"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 високі кредитні ставки. Хоча ставки по кредитах і були знижені, вони залишаються все ще досить високими. Економічно привабливою є ставка не вище 20%. </w:t>
      </w:r>
    </w:p>
    <w:p w14:paraId="0E39A2AF"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lastRenderedPageBreak/>
        <w:t>- побоювання щодо безперебійного держфінансування покупки нової автобусної техніки для міст;</w:t>
      </w:r>
    </w:p>
    <w:p w14:paraId="5422BD4F"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ситуація на ринку пасажирських перевезень (а легальні перевізники і є основними споживачами автобусів) продовжує погіршуватися. Ситуація з тарифами на перевезення, дорожнеча кредитів, присутність на ринку нелегальних перевізників - все це буде тільки погіршувати стан галузі пасажирських перевезень. Основну "шкоду" галузі,  завдають нелегальні перевізники, які відбирають чималу частину споживачів у офіційних автовиробників. За даними останніх, частка нелегалів становить 15-20% загальноукраїнського ринку пасажирських перевезень. А чим ближче до Києва, тим обсяг тіньового сектора більше, у столиці він досягає 50%. Втім, і легальний сектор не радує виробників автобусів, які вважають, що муніципальні власті повинні активніше і жорсткіше заохочувати перевізників до оновлення автопарків. За даними виробників, в Україні більше 180 тис. од. автобусної техніки, 75-80% якої старше 12 років. У країнах ЄС щорічно замінюється 15% автобусного парку. Але в Україні навіть у докризові роки замінювалося трохи більше 6 тис. од. автобусної техніки (тобто близько 3,3 %).</w:t>
      </w:r>
    </w:p>
    <w:p w14:paraId="53C56035"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У комплексі ці фактори помітно стримують відновлення вітчизняного ринку нових автобусів. А ось ринок уживаних автобусів в таких умовах, навпаки, помітно зростає. Ринок автобусів безпосередньо залежить від ринку пасажирських перевезень, а також від держрегулювання в цій галузі, особливо в сфері рухомого складу і формування тарифної політики. Необхідно, щоб держава ввела вимоги щодо використання певної кількості нових автобусів на маршрутах. У цьому випадку перевізникам просто нікуди буде подітися, і вони будуть змушені купувати нову техніку. Також існує велика проблема з адміністративним стримуванням тарифів на перевезення пасажирів. Оскільки у нас в країні постійні вибори, тариф на перевезення весь час стримується, і нікому не цікаві економічні обгрунтування перевізників. Підвищувати розцінки на ці послуги необхідно. Якщо цього не робити, транспортні компанії просто зупиняться.</w:t>
      </w:r>
    </w:p>
    <w:p w14:paraId="5608A94B"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      Дуже важливим залишається питання  кредитування споживачів та замовників даної продукції. Також гальмує складання прогнозів  та планів на виробництво політика цін на енергоносії та основні комплектуючі, матеріали  для виготовлення готової продукції; ситуація в країні, через географічне розташування потужностей виробництва в близкості до зони активних бойових дій. На пiдприємствi має мiсце недовикористання промислового потенцiалу. </w:t>
      </w:r>
    </w:p>
    <w:p w14:paraId="25538C7F"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      Управління ризиками на ПрАТ "Завод "Часівоярські автобуси" включає розробку і реалізацію економічно обґрунтованих рекомендацій і заходів, які спирається на результати оцінки рисків, техніко-технологічній і економічний аналіз потенціалу і середовища функціонування підприємства, нормативну базу господарювання, що діє і прогнозовану, економіко-математичні методи, маркетингові і інші дослідження.</w:t>
      </w:r>
    </w:p>
    <w:p w14:paraId="1141AD58"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     Об'єктом оцінки і управління ризиком є стратегічні вирішення підприємства, стратегічний план, що містить ряд тверджень майбутнього розвитку зовнішнього по відношенню до підприємства середовища, рекомендацій по образу дій керівництва і колективу підприємства, прогнозних висловів про реакції на планованих стратегічних заходах споживачів продукції, постачальників сировини, конкурентів і ін..</w:t>
      </w:r>
    </w:p>
    <w:p w14:paraId="1FA3CE34"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6A2A746F"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7. ДОСЛІДЖЕННЯ ТА ІННОВАЦІЇ</w:t>
      </w:r>
    </w:p>
    <w:p w14:paraId="79C1B477"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173539E3"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Особливістю продукцiї товариства є те, що конструкцiя автомобiлiв ПрАТ "Завод "Часівоярські автобуси" вiдрiзняється вiд конструкцiї автомобiлiв конкурентiв, збiрка виконується не з машинокомплектiв, а з деталей, що виробляються заводом.</w:t>
      </w:r>
    </w:p>
    <w:p w14:paraId="6FFA684B"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Всi iнвестицiї, спрямованi на розробку й постановку на виробництво нових видiв продукцiї. Така iнтенсивна pозpобка й змiна моделей викликана вимогами, що швидко ростуть та змiнюються, як перевiзникiв, так й адмiнiстративних органiв, якi здiйснюють органiзацiю й контроль за перевiзниками. Всi моделi, що серiйно випускаються, мають товарний знак та сертифiкат якості ISO 9001, що вказує на високий рiвень виробництва. Витрати за звітний період на проведення технічної експертизи документації складають 24,0 тис.грн.; послуги з сертифікації нових КТЗ складають 36,0 тис.грн.Продукція товариства має протоколи випробувань на відповідность вимогам Правил ЄЕК ООН. </w:t>
      </w:r>
    </w:p>
    <w:p w14:paraId="747FF33D"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Для задоволення динамічно зростаючих вимог ринку автобусів, ПрАТ "Завод "Часівоярські автобуси" своєчасно удосконалює вироблену продукцію і відстежуючи нові вимоги щодо поліпшення комфортності та безпеки пасажирів, розробляє нові сучасні моделі автобусів. Для досягнення нових вимог використовуються найновіші матеріали, технології та методи організації праці.</w:t>
      </w:r>
    </w:p>
    <w:p w14:paraId="6BA35DDF"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Сучасна продукція ПрАТ "Завод "Часівоярські автобуси" відповідає сучасним вимогам правил ЄЕК ООН та українського законодавства перерахованих в наказі №521. Контроль відповідності вимогам здійснює центр сертифікації.</w:t>
      </w:r>
    </w:p>
    <w:p w14:paraId="755537CF"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За останні роки ПрАТ "Завод "Часівоярські автобуси"розробив і впровадив в серійне виробництво автобуси на базі шасі ASHOK LEYLAND, FORD, IVECО, що володіють сучасним дизайном, комфортабельністю та безпекою. Автобуси оснащені ременями безпеки відповідно до вимог безпеки перевезень пасажирів і призначені для перевезення як звичайних пасажирів, так і осіб пріоритетної категорії, включаючи осіб з обмеженою мобільністю та інвалідів на візках. Системи світлового і звукового оповіщення автобуса дозволяють здійснювати поїздки без яких ускладнень особам з дефектами зору і слуху. Нові автобуси відповідають вимогам екологічних норм токсичності викидів вихлопних газів Євро-6, що сприяє екологічній обстановці в перевантажених транспортом містах.</w:t>
      </w:r>
    </w:p>
    <w:p w14:paraId="614AED85"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Технічні характеристики вироблених автобусів задовольняють сучасним вимогам перевізників, міських адміністрацій та контролюючих органів.</w:t>
      </w:r>
    </w:p>
    <w:p w14:paraId="1286E1C2"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5B8F8C2B"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8. ФІНАНСОВІ ІНВЕСТИЦІЇ</w:t>
      </w:r>
    </w:p>
    <w:p w14:paraId="2D012C68"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Фінансових інвестицій у 2025році підприємство не робило.</w:t>
      </w:r>
    </w:p>
    <w:p w14:paraId="21116301"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330FF34F"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9. ПЕРСПЕКТИВИ РОЗВИТКУ</w:t>
      </w:r>
    </w:p>
    <w:p w14:paraId="05F5DE4B"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445D8663"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  Російська Федерація здійснила  військове вторгнення на територію України 24.02.2022 року. Оцінка її впливу на фінансовий результат 2025року </w:t>
      </w:r>
    </w:p>
    <w:p w14:paraId="52F96512"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lastRenderedPageBreak/>
        <w:t xml:space="preserve">Оскільки військове вторгнення РФ в Україну відбулося наприкінці лютого 2022 р, ця подія, яка не вимагає коригування фінансової звітності після звітного періоду. Згідно ПСБУ6 такі події  розкриваються в примітках до фінансових звітів. Ми звертаємо увагу на Примітку 2 до фінансової звітності, що описує вплив військової агресії російської федерації проти України на діяльність Товариства станом на 31.12.2025 р. </w:t>
      </w:r>
    </w:p>
    <w:p w14:paraId="44A74CF7"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Як зазначено в Примітці 2, ці події або умови  разом з іншими питаннями,  викладеними в них,  вказують, що  не існує суттєва невизначеність, що може поставити під значний сумнів здатність Товариства  продовжувати свою діяльність.</w:t>
      </w:r>
    </w:p>
    <w:p w14:paraId="61406902"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ПрАТ "ЗАВОД "ЧАСІВОЯРСЬКІ АВТОБУСИ" має в своєму розпорядженні достатні ресурси і достатній запас грошових коштів. У керівництва, як і раніше, є достатні підстави очікувати, що Товариство має необхідні ресурси для продовження діяльності протягом як мінімум наступних 12 місяців і далі в найближчому майбутньому і що припущення про безперервність діяльності залишається обґрунтованим.</w:t>
      </w:r>
    </w:p>
    <w:p w14:paraId="7F09644A"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Товариство евакуювало із зони, де проводяться бойові дії свої активи, а саме: машини та обладнання, транспортні засоби, незавершене виробництво, запаси ТМЦ та інше. Евакуйовані  активи знаходяться у орендованому нежитловому приміщенні за адресою : м.Черкаси, вул. Смілянська, б.169, договір № 1 від 01.12.2023 р. на аренду нежитлового приміщення (325,0 м2) .  </w:t>
      </w:r>
    </w:p>
    <w:p w14:paraId="265960AC"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Обґрунтування щодо неможливості зробити таку оцінку.</w:t>
      </w:r>
    </w:p>
    <w:p w14:paraId="4DDE6EA4"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Враховуючи те, що перебіг військових дій може суттєво вплинути на операційне середовище в країні, а остаточне врегулювання неможливо передбачити з достатньою вірогідністю, Товариство ухвалило рішення надалі спостерігати за ситуацією та готове внести коригування до  фінансової звітності, за необхідності, щойно зможе оцінити вплив негативних факторів. . </w:t>
      </w:r>
    </w:p>
    <w:p w14:paraId="69476058"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Слід очікувати, що українська економіка постраждає від військових дій та потенційних майбутніх військових проблем, що може негативно позначитися на операційній діяльності Товариства. Проте кількісно визначити відповідний фінансовий вплив неможливо.</w:t>
      </w:r>
    </w:p>
    <w:p w14:paraId="7247F6D8"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Ці події підвищують рівень невизначеності, яка притаманна припущенням, зробленим при розрахунку оціночних значень, використаних у бухгалтерській звітності, а також рівень ризику під час здійснення господарської діяльності в Україні. Суспільство перебуває у процесі оцінки впливу описаних обставин на бухгалтерську звітність.</w:t>
      </w:r>
    </w:p>
    <w:p w14:paraId="4DD5A55E"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10. КОРПОРАТИВНЕ УПРАВЛІННЯ</w:t>
      </w:r>
    </w:p>
    <w:p w14:paraId="1835EC61"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10.1. Органи управління ПрАТ "Завод "Часівоярські автобуси"</w:t>
      </w:r>
    </w:p>
    <w:p w14:paraId="67BA07EC"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Органами управління та контролю Товариства є: Загальні збори акціонерів, Наглядова рада, Директор.</w:t>
      </w:r>
    </w:p>
    <w:p w14:paraId="66CEDBE6"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Загальні збори акціонерів - вищий орган управління, які вирішують питання, що віднесені чинним законодавством України, Статутом, внутрішнім Положенням Товариства до компетенції Загальних зборів.</w:t>
      </w:r>
    </w:p>
    <w:p w14:paraId="28D6E75D"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 До виключної компетенції Загальних зборів відноситься:</w:t>
      </w:r>
    </w:p>
    <w:p w14:paraId="5776A856"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1) визначення основних напрямів діяльності Товариства;</w:t>
      </w:r>
    </w:p>
    <w:p w14:paraId="7E24C501"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2) внесення змін до Статуту Товариства, </w:t>
      </w:r>
    </w:p>
    <w:p w14:paraId="63A6A86E"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3) прийняття рішення про анулювання викуплених акцій;</w:t>
      </w:r>
    </w:p>
    <w:p w14:paraId="0B98618D"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4) прийняття рішення про зміну типу Товариства;</w:t>
      </w:r>
    </w:p>
    <w:p w14:paraId="6FE30CAD"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5) прийняття рішення про розміщення акцій; </w:t>
      </w:r>
    </w:p>
    <w:p w14:paraId="746A3A5C"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5-1) прийняття рішення про розміщення цінних паперів, які можуть бути конвертовані в акції;</w:t>
      </w:r>
    </w:p>
    <w:p w14:paraId="2A4DE2D2"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6) прийняття рішення про збільшення Статутного капіталу Товариства;</w:t>
      </w:r>
    </w:p>
    <w:p w14:paraId="09034E76"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7) прийняття рішення про зменшення Статутного капіталу Товариства;</w:t>
      </w:r>
    </w:p>
    <w:p w14:paraId="5EE5B2DF"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8) прийняття рішення про дроблення або консолідацію акцій;</w:t>
      </w:r>
    </w:p>
    <w:p w14:paraId="2D0C0315"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9) затвердження положень про Загальні збори, Наглядову раду Товариства, виконавчий орган Товариства, а також внесення змін до них; </w:t>
      </w:r>
    </w:p>
    <w:p w14:paraId="40DF0FF3"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9-1) затвердження положення про винагороду членів Наглядової ради Товариства, вимоги до якого встановлюються Національною комісією з цінних паперів та фондового ринку;</w:t>
      </w:r>
    </w:p>
    <w:p w14:paraId="4873B684"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9-2) затвердження звіту про винагороду членів Наглядової ради Товариства, вимоги до якого встановлюються Національною комісією з цінних паперів та фондового ринку;</w:t>
      </w:r>
    </w:p>
    <w:p w14:paraId="1A2DCC9C"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10) затвердження річного звіту Товариства;</w:t>
      </w:r>
    </w:p>
    <w:p w14:paraId="6A0F2A4D"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10-1) розгляд звіту Наглядової ради та затвердження заходів за результатами його розгляду;</w:t>
      </w:r>
    </w:p>
    <w:p w14:paraId="62D6BD90"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10-2) розгляд висновків зовнішнього аудиту та затвердження заходів за результатами його розгляду;</w:t>
      </w:r>
    </w:p>
    <w:p w14:paraId="6333253C"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11) розподіл прибутку і збитків Товариства;</w:t>
      </w:r>
    </w:p>
    <w:p w14:paraId="3C286C87"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12) прийняття рішення про викуп Товариством розміщених ним акцій, крім випадків обов'язкового викупу акцій, визначених відповідно до закону; </w:t>
      </w:r>
    </w:p>
    <w:p w14:paraId="75D848F0"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12-1) прийняття рішення про невикористання переважного права акціонерами на придбання акцій додаткової емісії у процесі їх розміщення;</w:t>
      </w:r>
    </w:p>
    <w:p w14:paraId="05730D7C"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13) прийняття рішення про форму існування акцій;</w:t>
      </w:r>
    </w:p>
    <w:p w14:paraId="29D90FE9"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14) прийняття рішення про виплату дивідендів; </w:t>
      </w:r>
    </w:p>
    <w:p w14:paraId="07442A86"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15) затвердження розміру річних дивідендів;</w:t>
      </w:r>
    </w:p>
    <w:p w14:paraId="5D201817"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16) прийняття рішень з питань порядку проведення Загальних зборів;</w:t>
      </w:r>
    </w:p>
    <w:p w14:paraId="33491A26"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17) обрання членів Наглядової ради Товариства, затвердження умов цивільно-правових або трудових договорів (контрактів), що укладатимуться з ними, встановлення розміру їх винагороди, обрання особи, яка уповноважується на підписання договорів (контрактів) з членами Наглядової ради Товариства;</w:t>
      </w:r>
    </w:p>
    <w:p w14:paraId="167CFDF2"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18) прийняття рішення про припинення повноважень членів Наглядової ради Товариства, за винятком випадків, встановлених законом;</w:t>
      </w:r>
    </w:p>
    <w:p w14:paraId="5426F418"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19) прийняття рішення про виділ та припинення Товариства, про ліквідацію Товариства, обрання ліквідаційної комісії, затвердження порядку та строків ліквідації, порядку розподілу між акціонерами майна, що залишається після задоволення вимог кредиторів, і затвердження ліквідаційного балансу, крім випадку, коли відповідно до закону зазначені питання віднесені до компетенції Наглядової ради Товариства;</w:t>
      </w:r>
    </w:p>
    <w:p w14:paraId="756F2BFC"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20) затвердження принципів (кодексу) корпоративного управління Товариства;</w:t>
      </w:r>
    </w:p>
    <w:p w14:paraId="44F758A2"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lastRenderedPageBreak/>
        <w:t>21) обрання комісії з припинення або виділу Товариства;</w:t>
      </w:r>
    </w:p>
    <w:p w14:paraId="601022E1"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22) обрання членів лічильної комісії, прийняття рішення про припинення їх повноважень;</w:t>
      </w:r>
    </w:p>
    <w:p w14:paraId="6616FE62"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23) прийняття рішення про надання згоди або про попереднє надання згоди на вчинення значного правочину, якщо ринкова вартість майна, робіт або послуг, що є предметом такого правочину, перевищує 25 відсотків вартості активів за даними останньої річної фінансової звітності Товариства;</w:t>
      </w:r>
    </w:p>
    <w:p w14:paraId="1B29DDFB"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24) прийняття рішень про притягнення до майнової відповідальності посадових осіб органів Товариства;</w:t>
      </w:r>
    </w:p>
    <w:p w14:paraId="30359AA2"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25) прийняття рішення про надання згоди на вчинення правочину із заінтересованістю та ринкова вартість майна або послуг чи сума коштів, що є предметом правочину із заінтересованістю, перевищує сто мінімальних заробітних плат виходячи з розміру мінімальної заробітної плати станом на 1 січня поточного року, якщо:</w:t>
      </w:r>
    </w:p>
    <w:p w14:paraId="137A1863"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всі члени Наглядової ради є заінтересованими у вчиненні правочину;</w:t>
      </w:r>
    </w:p>
    <w:p w14:paraId="4E065825"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ринкова вартість майна або послуг чи сума коштів, що є його предметом, перевищує 10 відсотків вартості активів, за даними останньої річної фінансової звітності Товариства;</w:t>
      </w:r>
    </w:p>
    <w:p w14:paraId="64705689"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Наглядова рада прийняла рішення про відхилення правочину із заінтересованістю або не прийняла жодного рішення протягом 30 днів з дня отримання необхідної інформації;</w:t>
      </w:r>
    </w:p>
    <w:p w14:paraId="44B4B078"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26) прийняття рішень про використання коштів Резервного фонду (капіталу).</w:t>
      </w:r>
    </w:p>
    <w:p w14:paraId="62E2B83E"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Повноваження, віднесені до виключної компетенції Загальних зборів, не можуть бути передані на вирішення інших органів Товариства.</w:t>
      </w:r>
    </w:p>
    <w:p w14:paraId="2EC31BC2"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Загальні збори можуть вирішувати будь-які питання діяльності Товариства. </w:t>
      </w:r>
    </w:p>
    <w:p w14:paraId="0E0CB746"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Наглядова рада акцiонерного товариства є колегіальним органом товариства, який здiйснює контроль за діяльністю правління та захист прав акцiонерiв, забезпечує ефективнiсть їхнiх iнвестицiй, реалiзацiю статутних завдань, розробку стратегiї, спрямовану на пiдвищення прибутковостi та конкурентоспроможностi товариства.</w:t>
      </w:r>
    </w:p>
    <w:p w14:paraId="18DFAB15"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До виключної компетенції Наглядової ради належить:</w:t>
      </w:r>
    </w:p>
    <w:p w14:paraId="57B31660"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1) затвердження внутрішніх положень, якими регулюється діяльність Товариства, крім тих, що віднесені до виключної компетенції Загальних зборів  та тих, що рішенням Наглядової ради передані для затвердження Директору;</w:t>
      </w:r>
    </w:p>
    <w:p w14:paraId="0C6E413C"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2) підготовка та затвердження проекту порядку денного та порядку денного Загальних зборів Товариства, прийняття рішення про дату їх проведення та про включення пропозицій до проекту порядку денного, крім скликання акціонерами позачергових Загальних зборів Товариства самостійно;</w:t>
      </w:r>
    </w:p>
    <w:p w14:paraId="7CC964E6"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3) прийняття рішення про проведення чергових або позачергових Загальних зборів відповідно до цього Статуту та у випадках, встановлених законом;</w:t>
      </w:r>
    </w:p>
    <w:p w14:paraId="5530BE0B"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4) прийняття рішення про продаж раніше викуплених Товариством акцій;</w:t>
      </w:r>
    </w:p>
    <w:p w14:paraId="49F79AD1"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5) прийняття рішення про розміщення Товариством інших цінних паперів, крім акцій, на суму, що не перевищує 25 (двадцяти п'яти) відсотків вартості активів Товариства;;</w:t>
      </w:r>
    </w:p>
    <w:p w14:paraId="3AFB1034"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6) прийняття рішення про викуп розміщених Товариством інших, крім акцій, цінних паперів;</w:t>
      </w:r>
    </w:p>
    <w:p w14:paraId="4CA97148"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7) затвердження ринкової вартості майна (цінних паперів)у випадках, передбачених законом;</w:t>
      </w:r>
    </w:p>
    <w:p w14:paraId="1B6BC18F"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8) обрання та припинення повноважень Директора Товариства, затвердження умов трудового договору, який укладатиметься з Директором Товариства, встановлення розміру його винагороди;</w:t>
      </w:r>
    </w:p>
    <w:p w14:paraId="0FED3BBB"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8-1) затвердження положення про винагороду Директора Товариства, вимоги до якого встановлюються Національною комісією з цінних паперів та фондового ринку;</w:t>
      </w:r>
    </w:p>
    <w:p w14:paraId="1B1931EE"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8-2) затвердження звіту про винагороду Директора Товариства, вимоги до якого встановлюються Національною комісією з цінних паперів та фондового ринку;</w:t>
      </w:r>
    </w:p>
    <w:p w14:paraId="309D2565"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8-3) розгляд звіту Директора та затвердження заходів за результатами його розгляду;</w:t>
      </w:r>
    </w:p>
    <w:p w14:paraId="17B0546F"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9) прийняття рішення про відсторонення Директора Товариства від здійснення повноважень та обрання особи, яка тимчасово здійснюватиме повноваження Директора Товариства;</w:t>
      </w:r>
    </w:p>
    <w:p w14:paraId="62A3D767"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10) обрання реєстраційної комісії, за винятком випадків, встановлених законом;</w:t>
      </w:r>
    </w:p>
    <w:p w14:paraId="428B6348"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11) обрання аудитора (аудиторської фірми) Товариства для проведення аудиторської перевірки за результатами поточного та/або минулого (минулих) року (років) та визначення умов договору, що укладатиметься з таким аудитором (аудиторською фірмою), встановлення розміру оплати його (її) послуг;</w:t>
      </w:r>
    </w:p>
    <w:p w14:paraId="786CAB54"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11-1) затвердження рекомендацій Загальним зборам за результатами розгляду висновку зовнішнього незалежного аудитора (аудиторської фірми) Товариства для прийняття рішення щодо нього;</w:t>
      </w:r>
    </w:p>
    <w:p w14:paraId="7BF59E1D"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12) визначення дати складення переліку осіб, які мають право на отримання дивідендів, порядку та строків виплати дивідендів у межах граничних строків, встановлених законом;</w:t>
      </w:r>
    </w:p>
    <w:p w14:paraId="18BFAE42"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13) визначення дати складення переліку акціонерів, які мають бути повідомлені про проведення Загальних зборів Товариства та мають право на участь у Загальних зборах Товариства;</w:t>
      </w:r>
    </w:p>
    <w:p w14:paraId="0C8CC6DD"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14) вирішення питань про участь Товариства у промислово-фінансових групах та інших об'єднаннях; </w:t>
      </w:r>
    </w:p>
    <w:p w14:paraId="0FB5B832"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14-1) вирішення питань про створення та/або участь в будь-яких юридичних особах, їх реорганізацію та ліквідацію;</w:t>
      </w:r>
    </w:p>
    <w:p w14:paraId="49681A93"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15) вирішення питань, віднесених до компетенції Наглядової ради законом, у разі злиття, приєднання, поділу, виділу або перетворення товариства;</w:t>
      </w:r>
    </w:p>
    <w:p w14:paraId="39D04D06"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16) прийняття рішення про надання згоди або про попереднє надання згоди на вчинення значних правочинів, якщо ринкова вартість майна або послуг, що є його предметом, становить від 10 (десяти) до 25 (двадцяти п'яти) відсотків вартості активів за даними останньої річної фінансової звітності Товариства;</w:t>
      </w:r>
    </w:p>
    <w:p w14:paraId="0727ADEF"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17) визначення ймовірності визнання Товариства неплатоспроможним внаслідок прийняття ним на себе зобов'язань або їх виконання, у тому числі внаслідок виплати дивідендів або викупу акцій;</w:t>
      </w:r>
    </w:p>
    <w:p w14:paraId="184859A2"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18) прийняття рішення про обрання оцінювача майна Товариства та затвердження умов договору, що укладатиметься з ним, встановлення розміру оплати його послуг;</w:t>
      </w:r>
    </w:p>
    <w:p w14:paraId="2AA34AFC"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19)прийняття рішення про обрання (заміну) депозитарної установи, яка надає Товариству додаткові послуги, затвердження умов договору, що укладатиметься з нею, встановлення розміру оплати її послуг;</w:t>
      </w:r>
    </w:p>
    <w:p w14:paraId="558062B0"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20) надсилання пропозиції акціонерам про придбання належних їм простих акцій особою (особами, що діють спільно), яка придбала контрольний пакет акцій, відповідно до закону;</w:t>
      </w:r>
    </w:p>
    <w:p w14:paraId="3956DC2B"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lastRenderedPageBreak/>
        <w:t>21) затвердження повідомлення про проведення Загальних зборів;</w:t>
      </w:r>
    </w:p>
    <w:p w14:paraId="54493C7B"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22) затвердження форми і тексту бюлетеня для голосування та бюлетеня для кумулятивного голосування;</w:t>
      </w:r>
    </w:p>
    <w:p w14:paraId="18A212E0"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23) прийняття рішення про формування тимчасової лічильної комісії для кожних Загальних зборів, які скликаються Наглядовою радою Товариства;</w:t>
      </w:r>
    </w:p>
    <w:p w14:paraId="1CBAED33"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24) обрання голови та секретаря Загальних зборів Товариства;</w:t>
      </w:r>
    </w:p>
    <w:p w14:paraId="4A2A7E7D"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25) прийняття рішення про надання згоди на вчинення правочинів, щодо вчинення якого є заінтересованість, якщо ринкова вартість майна або послуг чи сума коштів, що є предметом правочину із заінтересованістю, перевищує сто мінімальних заробітних плат виходячи з розміру мінімальної заробітної плати станом на 1 січня поточного року;</w:t>
      </w:r>
    </w:p>
    <w:p w14:paraId="5B436DC1"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26) вирішення питань про створення, реорганізацію та/або ліквідацію структурних та/або відокремлених підрозділів Товариства;;</w:t>
      </w:r>
    </w:p>
    <w:p w14:paraId="44D677FA"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27) здійснення контролю за своєчасністю надання (опублікування) Товариством достовірної інформації про його діяльність відповідно до законодавства, опублікування Товариством інформації про принципи (кодекс) корпоративного управління Товариства.</w:t>
      </w:r>
    </w:p>
    <w:p w14:paraId="72C59D1D"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1. Голова наглядової ради Полосухіна Ганна Костянтинівна</w:t>
      </w:r>
    </w:p>
    <w:p w14:paraId="222965F0"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Полосухіна Ганна Костянтинівна має вищу освіту, в 2009 році закінчила Донбаську державну машинобудівну академію за спеціальністю  інженер ІТ, протягом останніх п'яти років знаходиться у декретній відпустці. Призначена членом наглядової ради рішенням загальних зборів акціонерів від 10.05.2024р. Призначена Головою Наглядової ради (протокол №5 від 10.05.2025).</w:t>
      </w:r>
    </w:p>
    <w:p w14:paraId="29385A2B"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2. Член наглядової ради Полосухіна Олена Володимирівна. Полосухіна Олена Володимирівна має вищу освіту, в 2000 році закінчила Донбаську державну машинобудівну академію за спеціальністю фінанси, протягом останніх п'яти років місце роботи відсутнє. Призначена членом наглядової ради рішенням загальних зборів акціонерів від 10.05.2024р. </w:t>
      </w:r>
    </w:p>
    <w:p w14:paraId="71E7DD03"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3. Член наглядової ради Полосухіна Марія Василівна. Полосухіна Марія Василівна  має середню спеціальну освіту, в 1970 році закінчила Артемівське педагогічне училище за спеціальністю дошкільне виховання, протягом останніх п'яти років знаходиться на пенсії. Призначена членом наглядової ради рішенням загальних зборів акціонерів від 10.05.2024р. </w:t>
      </w:r>
    </w:p>
    <w:p w14:paraId="6716C189"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6F0B91F0"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Директор є одноосібним виконавчим органом Товариства. Одноосібним виконавчим органом є Директор Товариства (далі - Директор). Директор ПрАТ "Завод "Часівоярські автобуси" - Полосухін Олексій Володимирович.</w:t>
      </w:r>
    </w:p>
    <w:p w14:paraId="29EA96FB"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Директор є підзвітним загальним зборам і наглядовій раді.</w:t>
      </w:r>
    </w:p>
    <w:p w14:paraId="27AED927"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У Товаристві діє одноосібний виконавчий орган. Одноосібним виконавчим органом є Директор Товариства (далі - Директор). Директор здійснює управління поточною діяльністю Товариства.</w:t>
      </w:r>
    </w:p>
    <w:p w14:paraId="79CD68F5"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Директор підзвітний Загальним зборам і Наглядовій раді Товариства та організує виконання їх рішень.</w:t>
      </w:r>
    </w:p>
    <w:p w14:paraId="58407D42"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Директор Товариства обирається та відкликається Наглядовою радою Товариства. </w:t>
      </w:r>
    </w:p>
    <w:p w14:paraId="3D12295D"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Обраним вважається той кандидат, який набрав найбільшу кількість голосів.</w:t>
      </w:r>
    </w:p>
    <w:p w14:paraId="7CC9AD32"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Директор обирається безстроково.</w:t>
      </w:r>
    </w:p>
    <w:p w14:paraId="60066441"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Повноваження Директора достроково припиняються за рішенням Наглядової ради Товариства з таких підстав:</w:t>
      </w:r>
    </w:p>
    <w:p w14:paraId="7040ECA6"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1) завдання Товариству його діями або бездіяльністю суттєвих збитків;</w:t>
      </w:r>
    </w:p>
    <w:p w14:paraId="05C390BF"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2) завдання шкоди діловій репутації Товариства;</w:t>
      </w:r>
    </w:p>
    <w:p w14:paraId="3A94AD5A"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3) приховування своєї заінтересованості у вчиненні правочину за участю Товариства, яким можуть бути завдані збитки Товариству;</w:t>
      </w:r>
    </w:p>
    <w:p w14:paraId="74CB37D9"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4) неналежне виконання своїх обов'язків;</w:t>
      </w:r>
    </w:p>
    <w:p w14:paraId="332A7E16"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5) порушення положень Статуту Товариства, а також норм чинного законодавства про акціонерні товариства;</w:t>
      </w:r>
    </w:p>
    <w:p w14:paraId="0033EE62"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6) розголошення комерційної таємниці, конфіденційної або інсайдерської інформації.</w:t>
      </w:r>
    </w:p>
    <w:p w14:paraId="634CD7A7"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Повноваження Директора припиняються за рішенням Наглядової ради з одночасним прийняттям рішення про призначення Директора або особи, яка тимчасово здійснюватиме його повноваження.</w:t>
      </w:r>
    </w:p>
    <w:p w14:paraId="15FA0866"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Повноваження Директора припиняються без рішення Наглядової ради Товариства у разі:1) за письмовою заявою Директора за умови повідомлення Товариства за 2 (два) тижні;2) в разі набрання законної сили вироком чи рішенням суду, яким його засуджено до покарання, що виключає можливість виконання обов'язків Директора;3) в разі смерті, визнання його недієздатним, обмежено дієздатним, безвісно відсутнім, померлим.</w:t>
      </w:r>
    </w:p>
    <w:p w14:paraId="3420F40B"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До компетенції Директора належить вирішення всіх питань, пов'язаних з керівництвом поточною діяльністю Товариства, крім питань, що належать до компетенції Загальних зборів та Наглядової ради Товариства.</w:t>
      </w:r>
    </w:p>
    <w:p w14:paraId="6F3F0C4E"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До  компетенції Директора належить:</w:t>
      </w:r>
    </w:p>
    <w:p w14:paraId="60C80305"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1) видача довіреностей;</w:t>
      </w:r>
    </w:p>
    <w:p w14:paraId="7428CC3A"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2) прийняття рішення щодо організації і ведення бухгалтерського та податкового обліку в Товаристві;</w:t>
      </w:r>
    </w:p>
    <w:p w14:paraId="5C2FBF1C"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3) прийняття рішення щодо організації і ведення діловодства в Товаристві;</w:t>
      </w:r>
    </w:p>
    <w:p w14:paraId="2EC380B2"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4) визначення складу та обсягу відомостей, що становлять комерційну таємницю та конфіденційну інформацію Товариства;</w:t>
      </w:r>
    </w:p>
    <w:p w14:paraId="1D2CF93E"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5) використання прибутку Товариства в розмірах і на цілі, передбачені планом (бюджетом) Товариства;  </w:t>
      </w:r>
    </w:p>
    <w:p w14:paraId="61628B6D"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6) призначення та відкликання керівників юридичних осіб, єдиним учасником яких є Товариство, філій та представництв Товариства;</w:t>
      </w:r>
    </w:p>
    <w:p w14:paraId="1C8BAE84"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7) визначення умов оплати праці керівників філій та представництв Товариства;</w:t>
      </w:r>
    </w:p>
    <w:p w14:paraId="35B2B03B"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8) надсилання Наглядовій раді Товариства вимог про скликання позачергових Загальних зборів та Наглядової ради Товариства у випадках, передбачених чинним законодавством та цим Статутом;</w:t>
      </w:r>
    </w:p>
    <w:p w14:paraId="231F9CB4"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9) найом та звільнення працівників Товариства;</w:t>
      </w:r>
    </w:p>
    <w:p w14:paraId="0ECB73FE"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10) заохочення та накладення стягнення на працівників Товариства;</w:t>
      </w:r>
    </w:p>
    <w:p w14:paraId="2E2D9F81"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11) підписання банківських, фінансових та інші документів, пов'язаних з поточною діяльністю Товариства;</w:t>
      </w:r>
    </w:p>
    <w:p w14:paraId="274CF59A"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12) прийняття рішень про вчинення правочинів; </w:t>
      </w:r>
    </w:p>
    <w:p w14:paraId="4E76D156"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13) прийняття рішення щодо виконання Товариством своїх зобов'язань перед клієнтами і третіми особами;</w:t>
      </w:r>
    </w:p>
    <w:p w14:paraId="3F49B984"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lastRenderedPageBreak/>
        <w:t>14) прийняття рішення щодо ефективного використання активів Товариства;</w:t>
      </w:r>
    </w:p>
    <w:p w14:paraId="0A5EDEAA"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15) прийняття рішень про створення структурних підрозділів, затвердження положень про них;</w:t>
      </w:r>
    </w:p>
    <w:p w14:paraId="7490CDD6"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Наведений перелік не є вичерпним.</w:t>
      </w:r>
    </w:p>
    <w:p w14:paraId="72357FC7"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Директор без довіреності діє від імені Товариства в межах, встановлених законами та цим Статутом Товариства, в тому числі представляє його інтереси, вчиняє правочини від імені Товариства, видає накази та дає розпорядження, обов'язкові для виконання всіма працівниками Товариства. </w:t>
      </w:r>
    </w:p>
    <w:p w14:paraId="0973EB02"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Директор самостійно на власний розсуд приймає рішення з усіх питань, віднесених до його компетенції, за винятком:1) питань про вчинення значних правочинів;2) питань про вчинення правочинів, щодо яких є заінтересованість якщо ринкова вартість майна або послуг чи сума коштів, що є предметом правочину із заінтересованістю, перевищує сто мінімальних заробітних плат виходячи з розміру мінімальної заробітної плати станом на 1 січня поточного року;3) питань про укладання договорів з аудитором, оцінювачем, депозитарієм цінних паперів Товариства, які укладаються на умовах, затверджених рішенням Наглядової ради Товариства.</w:t>
      </w:r>
    </w:p>
    <w:p w14:paraId="3F0B6CFD"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Приймаючи рішення Директор зобов'язаний добросовісно та розумно діяти в найкращих інтересах Товариства та не перевищувати своїх повноважень, діяти відповідно до положень чинного законодавства, Статуту Товариства, рішень Загальних зборів та Наглядової ради Товариства.</w:t>
      </w:r>
    </w:p>
    <w:p w14:paraId="346107C4"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Рішення Директора оформлюються наказами, розпорядженнями та іншими актами управляння. </w:t>
      </w:r>
    </w:p>
    <w:p w14:paraId="0973CC96"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Директор несе відповідальність перед Товариством за збитки, завдані його винними діями (бездіяльністю), у межах, встановлених законом.</w:t>
      </w:r>
    </w:p>
    <w:p w14:paraId="3A7C5CED"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10.2. Скликання та проведення загальних зборів акціонерів</w:t>
      </w:r>
    </w:p>
    <w:p w14:paraId="5005C00C"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Загальні збори скликаються не рідше одного разу на рік не пізніше 30 квітня наступного за звітним року (річні Загальні збори). Усі інші Загальні збори вважаються позачерговими.</w:t>
      </w:r>
    </w:p>
    <w:p w14:paraId="07A55EEF"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Загальні збори акціонерів Приватного акціонерного товариства "Завод "Часівоярські автобуси", код ЄДРПОУ 01350251, проведені дистанційно 30 квітня 2025 року у відповідності до Порядку скликання та проведення дистанційних загальних зборів акціонерів, затвердженого рішенням Національної комісії з цінних паперів та фондового ринку №236 від 06.03.2023 року.</w:t>
      </w:r>
    </w:p>
    <w:p w14:paraId="6E37B0BE"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Кворум цих Загальних зборів: 85,59% голосуючих акцій. Ці Загальні збори є правомочними з прийняття рішень за всіма питаннями порядку денного.</w:t>
      </w:r>
    </w:p>
    <w:p w14:paraId="69845285"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Питання порядку денного:</w:t>
      </w:r>
    </w:p>
    <w:p w14:paraId="145EAEEE"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1. Розгляд звіту Наглядової ради Товариство за 2024р. та прийняття рішення за результатами його розгляду.</w:t>
      </w:r>
    </w:p>
    <w:p w14:paraId="0F69A88C"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2. Затвердження  результатів фінансово-господарської діяльності Товариства за 2024р. </w:t>
      </w:r>
    </w:p>
    <w:p w14:paraId="6373AC4B"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3. Затвердження порядку покриття збитків.</w:t>
      </w:r>
    </w:p>
    <w:p w14:paraId="67A5A43E"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Позачергові загальні збори у 2025 році не скликалися.</w:t>
      </w:r>
    </w:p>
    <w:p w14:paraId="589AC70C"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ab/>
        <w:t>Річні Загальні збори скликаються Наглядовою радою Товариства.</w:t>
      </w:r>
    </w:p>
    <w:p w14:paraId="44D3001C"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Позачергові Загальні збори Товариства</w:t>
      </w:r>
    </w:p>
    <w:p w14:paraId="6DB80976"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Позачергові Загальні збори Товариства скликаються Наглядовою радою Товариства:</w:t>
      </w:r>
    </w:p>
    <w:p w14:paraId="484FE529"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1) з власної ініціативи;</w:t>
      </w:r>
    </w:p>
    <w:p w14:paraId="3C1721F3"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2) на вимогу виконавчого органу - в разі порушення провадження про визнання Товариства банкрутом, необхідності вчинення значного правочину або правочину, щодо якого є заінтересованість, необхідності вирішення інших питань, віднесених до компетенції Загальних зборів;</w:t>
      </w:r>
    </w:p>
    <w:p w14:paraId="5E7E28C3"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3) на вимогу акціонерів (акціонера), які на день подання вимоги сукупно є власниками 10 (десяти) і більше відсотків голосуючих акцій Товариства;</w:t>
      </w:r>
    </w:p>
    <w:p w14:paraId="28EEB79A"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4) в інших випадках, встановлених законом.</w:t>
      </w:r>
    </w:p>
    <w:p w14:paraId="690664F6"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Товариство скликає позачергові Загальні збори для обрання нового складу Наглядової ради Товариства протягом 3 (трьох) місяців, якщо кількість членів Наглядової ради Товариства становить половину або менше половини її кількісного складу.</w:t>
      </w:r>
    </w:p>
    <w:p w14:paraId="355C1F4A"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Вимога про скликання позачергових Загальних зборів подається в письмовій формі Директору Товариства на адресу за місцезнаходженням Товариства із зазначенням:</w:t>
      </w:r>
    </w:p>
    <w:p w14:paraId="2A291F45"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 органу або прізвищ (найменувань) акціонерів, які вимагають скликання позачергових Загальних зборів, </w:t>
      </w:r>
    </w:p>
    <w:p w14:paraId="06A15530"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підстав для скликання,</w:t>
      </w:r>
    </w:p>
    <w:p w14:paraId="764DD1F9"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порядку денного.</w:t>
      </w:r>
    </w:p>
    <w:p w14:paraId="227D3EDC"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У разі скликання позачергових Загальних зборів з ініціативи акціонерів вимога повинна також містити інформацію про кількість, тип і клас належних акціонерам акцій та бути підписаною всіма акціонерами, які її подають.</w:t>
      </w:r>
    </w:p>
    <w:p w14:paraId="39E14C13"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Наглядова рада Товариства приймає рішення про скликання позачергових Загальних зборів або про відмову в їх скликанні протягом 10 (десяти) днів з моменту отримання вимоги про їх скликання.</w:t>
      </w:r>
    </w:p>
    <w:p w14:paraId="133039B1"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Рішення про відмову у скликанні може бути прийнято тільки у разі:</w:t>
      </w:r>
    </w:p>
    <w:p w14:paraId="3C21E509"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якщо акціонери на дату подання вимоги не є власниками 10 (десяти) і більше відсотків голосуючих акцій Товариства;</w:t>
      </w:r>
    </w:p>
    <w:p w14:paraId="7B5C6AC6"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неповноти даних, передбачених у першому та другому абзаці пункту 15.6.3.</w:t>
      </w:r>
    </w:p>
    <w:p w14:paraId="23792C56"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Рішення Наглядової ради Товариства про скликання або мотивоване рішення про відмову у скликанні позачергових Загальних зборів надається відповідному органу Товариства або акціонерам, які вимагають їх скликання, не пізніше ніж за 3 (три) дні з моменту його прийняття.</w:t>
      </w:r>
    </w:p>
    <w:p w14:paraId="7AA6A333"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Позачергові Загальні збори, які скликаються Наглядовою радою, мають бути проведені протягом 45 (сорока п'яти) днів з дати подання вимоги про їх скликання.</w:t>
      </w:r>
    </w:p>
    <w:p w14:paraId="65CFD210"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У разі неприйняття Наглядовою радою рішення про скликання позачергових Загальних зборів на вимогу акціонерів (акціонера), які на день подання вимоги сукупно є власниками 10 і більше відсотків голосуючих акцій Товариства, протягом 10 днів з моменту отримання такої вимоги або прийняття рішення про відмову у такому скликанні, позачергові Загальні збори Товариства можуть бути проведені акціонерами (акціонером), які подавали таку вимогу, протягом 90 днів з дати надсилання такими акціонерами (акціонером) Товариству вимоги про їх скликання.</w:t>
      </w:r>
    </w:p>
    <w:p w14:paraId="70BA9770"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lastRenderedPageBreak/>
        <w:t xml:space="preserve">При прийнятті рішення про скликання Загальних зборів Наглядова рада Товариства визначає дати, на які складається перелік акціонерів, які мають бути повідомлені про проведення Загальних зборів, та перелік акціонерів, які мають право на участь у Загальних зборах. Перелік акціонерів, які мають право на участь у Загальних зборах, складається станом на 24 годину за три робочих дні до дня проведення таких зборів у порядку, встановленому законодавством про депозитарну систему України. </w:t>
      </w:r>
    </w:p>
    <w:p w14:paraId="4150858B"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Вносити зміни до переліку акціонерів, які мають право на участь у Загальних зборах Товариства, після його складення заборонено.</w:t>
      </w:r>
    </w:p>
    <w:p w14:paraId="49200807"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Повідомлення про проведення Загальних зборів та проект порядку денного надсилається персонально кожному акціонеру, зазначеному в переліку акціонерів, які мають бути повідомлені про проведення Загальних зборів, у спосіб, передбачений Наглядовою радою Товариства, у строк не пізніше ніж за 30 (тридцять) днів до дати проведення Загальних зборів.</w:t>
      </w:r>
    </w:p>
    <w:p w14:paraId="6CE0C8E9"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У випадках, передбачених чинним законодавством, повідомлення про скликання позачергових Загальних зборів може здійснюватися не пізніше ніж за 15 (п'ятнадцять) днів до дати проведення Загальних зборів. У такому разі Наглядова рада затверджує порядок денний.</w:t>
      </w:r>
    </w:p>
    <w:p w14:paraId="068880B8"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Пропозиції до проекту порядку денного загальних зборів</w:t>
      </w:r>
    </w:p>
    <w:p w14:paraId="3DBEBFE0"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Кожний акціонер не пізніше ніж за 20 днів до дати проведення Загальних зборів має право внести пропозиції щодо питань, включених до проекту порядку денного Загальних зборів, та  щодо кандидатів до складу органів Товариства - не пізніше ніж за сім днів до дати проведення Загальних зборів. Кількість кандидатів до складу органів Товариства не може перевищувати кількісного складу кожного з органів.</w:t>
      </w:r>
    </w:p>
    <w:p w14:paraId="59D3D495"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 Пропозиції вносяться в письмовій формі. </w:t>
      </w:r>
    </w:p>
    <w:p w14:paraId="2E8F3AA9"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Пропозиції щодо кандидатів до складу органів Товариства повинна містити таку інформацію про кандидата:</w:t>
      </w:r>
    </w:p>
    <w:p w14:paraId="47CA39C3"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прізвище, ім'я, по батькові;</w:t>
      </w:r>
    </w:p>
    <w:p w14:paraId="3416DBE9"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рік народження;</w:t>
      </w:r>
    </w:p>
    <w:p w14:paraId="6BFF4CF6"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кількість, тип та/або клас належних кандидату акцій Товариства;</w:t>
      </w:r>
    </w:p>
    <w:p w14:paraId="3C3878F8"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освіта (повне найменування навчального закладу, рік закінчення, спеціальність, кваліфікація);</w:t>
      </w:r>
    </w:p>
    <w:p w14:paraId="5D85A8D2"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місце роботи (основне та/або за сумісництвом), посади, які обіймає кандидат у юридичних особах;</w:t>
      </w:r>
    </w:p>
    <w:p w14:paraId="6BAA5B40"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загальний стаж роботи.</w:t>
      </w:r>
    </w:p>
    <w:p w14:paraId="017B93B9"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інформація про стаж роботи протягом останніх п'яти років (період, місце роботи, займана посада);</w:t>
      </w:r>
    </w:p>
    <w:p w14:paraId="7CDEE237"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наявність (відсутність) непогашеної (незнятої) судимості, в тому числі за корисливі та посадові злочини;</w:t>
      </w:r>
    </w:p>
    <w:p w14:paraId="0D995929"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наявність (відсутність) заборони обіймати певні посади та/або займатись певною діяльністю;</w:t>
      </w:r>
    </w:p>
    <w:p w14:paraId="4EFE3E9A"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чи є кандидат афілійованою особою Товариства;</w:t>
      </w:r>
    </w:p>
    <w:p w14:paraId="0AB48971"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акціонери товариства, що є афілійованими особами кандидата;</w:t>
      </w:r>
    </w:p>
    <w:p w14:paraId="4B097251"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наявність (відсутність) письмової заяви кандидата про згоду на обрання членом органу Товариства; наявність (відсутність) у письмовій заяві кандидата всіх або частини відомостей, вказаних у цьому підпункті;</w:t>
      </w:r>
    </w:p>
    <w:p w14:paraId="44736518"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паспортні дані (серія, номер, дата видачі, орган, який видав) кандидата, зазначається у разі надання згоди фізичної особи на розкриття паспортних даних.</w:t>
      </w:r>
    </w:p>
    <w:p w14:paraId="19FA1121"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Пропозиції щодо кандидатів до складу Наглядової ради Товариства мають містити інформацію про те, чи є запропонований кандидат представником акціонера (акціонерів), або про те, що кандидат пропонується на посаду члена наглядової ради - незалежного директора.</w:t>
      </w:r>
    </w:p>
    <w:p w14:paraId="296FD670"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Рішення про відмову у включенні до проекту порядку денного Загальних зборів пропозицій акціонерів (акціонера), яким належить менше 5 відсотків акцій, може бути прийнято Наглядовою радою Товариства у разі неповноти даних, передбачених підпунктами 15.9.3. та 15.9.4. цього Статуту, недотримання строку, встановленого для подання пропозицій, у разі неподання акціонерами жодного проекту рішення із запропонованих ними питань порядку денного, а також з інших підстав, передбачених чинним законодавством.</w:t>
      </w:r>
    </w:p>
    <w:p w14:paraId="42824A0C"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Питання порядку денного та проекти рішень з питань порядку денного, внесені за пропозиціями акціонерів, включаються в кінець переліку питань порядку денного та переліку проектів рішень з питань порядку денного відповідно в хронологічному порядку їх надходження. </w:t>
      </w:r>
    </w:p>
    <w:p w14:paraId="1B5F9384"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Наглядова рада Товариства, а в разі скликання позачергових Загальних зборів на вимогу акціонерів, - акціонери, які цього вимагають, приймають рішення про включення пропозицій до проекту порядку денного та затверджують порядок денний не пізніше ніж за 15 днів до дати проведення Загальних зборів, а щодо кандидатів до складу органів Товариства - не пізніше ніж за чотири дні до дати проведення Загальних зборів. </w:t>
      </w:r>
    </w:p>
    <w:p w14:paraId="3CAAEAAC"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У разі внесення змін до проекту порядку денного Загальних зборів Товариство не пізніше ніж за 10 днів до дати проведення Загальних зборів повідомляє акціонерів про такі зміни та направляє/вручає порядок денний, а також проекти рішень, що додаються на підставі пропозицій акціонерів, у спосіб, визначений Наглядовою радою.</w:t>
      </w:r>
    </w:p>
    <w:p w14:paraId="03F99969"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Акціонери, які скликають позачергові Загальні збори самостійно, надсилають таке повідомлення кожному акціонеру листом з повідомленням про вручення або вручають особисто.</w:t>
      </w:r>
    </w:p>
    <w:p w14:paraId="197F0B37"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Товариство не пізніше ніж за 30 днів до дати проведення Загальних зборів розміщує на власному веб-сайті в мережі Інтернет повідомлення про проведення Загальних зборів.</w:t>
      </w:r>
    </w:p>
    <w:p w14:paraId="39DE0E0E"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        Товариство не пізніше ніж за 30 днів до дати проведення Загальних зборів розміщує повідомлення про проведення Загальних зборів у загальнодоступній інформаційній базі даних Національної комісії з цінних паперів та фондового ринку про ринок цінних паперів або через особу, яка провадить діяльність з оприлюднення регульованої інформації від імені учасників фондового ринку.</w:t>
      </w:r>
    </w:p>
    <w:p w14:paraId="16CDF718"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Загальні збори акціонерного товариства мають кворум за умови реєстрації для участі у них акціонерів, які сукупно є власниками більш як 50 (п'ятдесяти) відсотків голосуючих акцій.</w:t>
      </w:r>
    </w:p>
    <w:p w14:paraId="768D1C8C"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Річні та позачергові Загальні збори проводяться в порядку, визначеному цим пунктом.</w:t>
      </w:r>
    </w:p>
    <w:p w14:paraId="1E8D15FB"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Загальні збори розпочинаються у час, вказаний у повідомленні про проведення Загальних зборів.</w:t>
      </w:r>
    </w:p>
    <w:p w14:paraId="2591000C"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Реєстраційна комісія призначається Наглядовою радою, а в разі скликання позачергових Загальних зборів акціонерами Товариства, -  акціонерами. </w:t>
      </w:r>
    </w:p>
    <w:p w14:paraId="46BB993C"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lastRenderedPageBreak/>
        <w:t>Засідання реєстраційної комісії є правомочним, якщо в ньому бере участь більше половини її кількісного складу, обраного відповідно до чинного законодавства. При прийнятті рішень кожен член реєстраційної комісії має один голос. Рішення реєстраційної комісії приймаються простою більшістю голосів її членів.</w:t>
      </w:r>
    </w:p>
    <w:p w14:paraId="25F27A93"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Загальні збори розпочинаються з доповіді голови реєстраційної комісії про результати реєстрації учасників Загальних зборів та наявність кворуму. Якщо на момент закінчення реєстрації кворуму досягти не вдалося, Загальні збори визнаються такими, що не відбулися. </w:t>
      </w:r>
    </w:p>
    <w:p w14:paraId="625522D5"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За наявності кворуму голова Загальних зборів відкриває Загальні збори.</w:t>
      </w:r>
    </w:p>
    <w:p w14:paraId="77261F84"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Головує на Загальних зборах голова Наглядової ради Товариства або інша особа, призначена Наглядовою радою Товариства. Загальні збори  можуть призначити головою іншу особу.</w:t>
      </w:r>
    </w:p>
    <w:p w14:paraId="0C93F880"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Загальні збори тривають до завершення розгляду всіх питань порядку денного. </w:t>
      </w:r>
    </w:p>
    <w:p w14:paraId="23B10F8F"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У ході Загальних зборів може бути оголошено перерву до наступного дня. Кількість перерв у ході проведення Загальних зборів не може перевищувати 3 (трьох).</w:t>
      </w:r>
    </w:p>
    <w:p w14:paraId="5AAE983F"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Голова Загальних зборів виносить на розгляд питання порядку денного Загальних зборів в тій послідовності, в якій вони перелічені в проекті порядку денного, який направлявся акціонерам.</w:t>
      </w:r>
    </w:p>
    <w:p w14:paraId="771384AC"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Загальні збори під час їх проведення можуть змінювати черговість розгляду питань порядку денного за умови, що за рішення про зміну черговості розгляду питань порядку денного буде віддано не менше трьох чвертей голосів акціонерів, які зареєструвалися для участі у Загальних зборах. </w:t>
      </w:r>
    </w:p>
    <w:p w14:paraId="42D5A7E1"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Розгляд кожного питання порядку денного розпочинається з оголошення проектів рішення з цього питання.</w:t>
      </w:r>
    </w:p>
    <w:p w14:paraId="19964413"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Загальні збори не можуть приймати рішення з питань, не включених до порядку денного, крім питань зміни черговості розгляду питань порядку денного та оголошення перерви у ході Загальних зборів до наступного дня.</w:t>
      </w:r>
    </w:p>
    <w:p w14:paraId="34BE3E82"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Після закінчення роботи Загальних зборів голова оголошує про їх закриття.</w:t>
      </w:r>
    </w:p>
    <w:p w14:paraId="0170BE26"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Голосування на Загальних зборах </w:t>
      </w:r>
    </w:p>
    <w:p w14:paraId="5D3B5EC4"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Голосування на Загальних зборах з питань порядку денного проводиться виключно з використанням бюлетенів для голосування.</w:t>
      </w:r>
    </w:p>
    <w:p w14:paraId="49AF706D"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З питань зміни черговості розгляду питань порядку денного та оголошення перерви у ході Загальних зборів до наступного дня, голосування проводиться без застосування бюлетенів.</w:t>
      </w:r>
    </w:p>
    <w:p w14:paraId="6A78E820"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Бюлетень для голосування та бюлетень для кумулятивного голосування повинен містити відомості, передбачені законом.</w:t>
      </w:r>
    </w:p>
    <w:p w14:paraId="3B6E0E5C"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До бюлетеня для кумулятивного голосування для голосування за кандидатів до Наглядової ради товариства включається інформація про те, що кандидат є акціонером, представником акціонера або групи акціонерів (із зазначенням інформації про цього акціонера або акціонерів) або про те, що кандидат пропонується на посаду члена Наглядової ради - незалежного директора.</w:t>
      </w:r>
    </w:p>
    <w:p w14:paraId="0829A722"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Бюлетень для голосування та бюлетень для кумулятивного голосування засвідчуються підписом члена реєстраційної комісії на кожному аркуші бюлетеня при його видачі акціонеру, що зареєструвався для участі у Загальних зборах.</w:t>
      </w:r>
    </w:p>
    <w:p w14:paraId="40FD704F"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Бюлетень для голосування визнається недійсним щодо голосування за всіма, зазначеними в ньому питаннями порядку денного, у разі якщо:</w:t>
      </w:r>
    </w:p>
    <w:p w14:paraId="55CA5FF0"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1) він відрізняється від офіційно виготовленого акціонерним товариством зразка;</w:t>
      </w:r>
    </w:p>
    <w:p w14:paraId="4FCF60D7"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2) на ньому або на будь-якій з його сторінок, якщо бюлетень складається з кількох аркушів, відсутній підпис (підписи) акціонера (представника акціонера) або не зазначені прізвище, імені та по батькові акціонера (представника акціонера) та найменування юридичної особи у разі, якщо вона є акціонером;</w:t>
      </w:r>
    </w:p>
    <w:p w14:paraId="61C2EC19"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3) він складається з кількох аркушів, які не пронумеровані;</w:t>
      </w:r>
    </w:p>
    <w:p w14:paraId="0DE86CAD"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4) акціонер (представник акціонера) не позначив у бюлетені жодного або позначив більше одного варіанта голосування щодо одного проекту рішення.</w:t>
      </w:r>
    </w:p>
    <w:p w14:paraId="289DEA69"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Бюлетень для кумулятивного голосування також визнається недійсним у разі, якщо акціонер (представник акціонера) зазначив у бюлетені більшу кількість голосів, ніж йому належить за таким голосуванням.</w:t>
      </w:r>
    </w:p>
    <w:p w14:paraId="4D369583"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Бюлетені для голосування та для кумулятивного голосування, визнані недійсними з підстав, передбачених цим пунктом, не враховуються під час підрахунку голосів.</w:t>
      </w:r>
    </w:p>
    <w:p w14:paraId="4212947D"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Підрахунок голосів на загальних зборах, роз'яснення щодо порядку голосування, підрахунку голосів та інших питань, пов'язаних із забезпеченням проведення голосування на Загальних зборах, надає лічильна комісія.</w:t>
      </w:r>
      <w:r w:rsidRPr="00B83176">
        <w:rPr>
          <w:rFonts w:eastAsia="Times New Roman" w:cs="Times New Roman"/>
          <w:kern w:val="0"/>
          <w:sz w:val="20"/>
          <w:szCs w:val="20"/>
          <w:lang w:val="en-US" w:eastAsia="uk-UA"/>
          <w14:ligatures w14:val="none"/>
        </w:rPr>
        <w:tab/>
      </w:r>
    </w:p>
    <w:p w14:paraId="5DD74757"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Лічильна комісія складається не менше як з двох осіб.</w:t>
      </w:r>
    </w:p>
    <w:p w14:paraId="26D8BCD5"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До складу лічильної комісії не можуть включатися особи, які входять або є кандидатами до складу органів Товариства.</w:t>
      </w:r>
    </w:p>
    <w:p w14:paraId="63D10441"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До моменту набрання чинності рішенням Загальних зборів про обрання лічильної комісії її функції здійснює тимчасова лічильна комісія, яка формується Наглядовою радою Товариства або акціонерами, у разі скликання позачергових Загальних зборів на вимогу акціонерів.</w:t>
      </w:r>
    </w:p>
    <w:p w14:paraId="649D1963"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Наглядова рада Товариства (у разі скликання позачергових Загальних зборів на вимогу акціонерів - акціонери, які цього вимагають) зобов'язана визначити першим питанням порядку денного Загальних зборів питання про обрання лічильної комісії.</w:t>
      </w:r>
    </w:p>
    <w:p w14:paraId="79E3DAC1"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Засідання лічильної комісії є правомочним, якщо в ньому бере участь більше половини її кількісного складу, обраного відповідно до чинного законодавства. При прийнятті рішень кожен член лічильної комісії має один голос. Рішення лічильної комісії приймаються простою більшістю голосів її членів.</w:t>
      </w:r>
    </w:p>
    <w:p w14:paraId="354C1E9E"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Рішення Загальних зборів оформлюються протоколом, який підписується головуючим та секретарем Загальних зборів, підшивається, скріплюється печаткою Товариства та підписом Директора Товариства.</w:t>
      </w:r>
    </w:p>
    <w:p w14:paraId="443F5AA8"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У протоколі Загальних зборів мають міститися відомості, вказані в законі. </w:t>
      </w:r>
    </w:p>
    <w:p w14:paraId="4D85AEE8"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Рішення Загальних зборів Товариства вважається прийнятим та набирає чинності з моменту складення протоколу про підсумки голосування, якщо в ньому не вказаний інший строк або дата набрання ним чинності або інше не встановлено чинним законодавством.</w:t>
      </w:r>
    </w:p>
    <w:p w14:paraId="1C93C5E3"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Рішення Загальних зборів про зміни розміру статутного капіталу набирає чинності з дня внесення цих змін до Державного реєстру.</w:t>
      </w:r>
    </w:p>
    <w:p w14:paraId="6C1B5381"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lastRenderedPageBreak/>
        <w:t xml:space="preserve">Зміни до Статуту Товариства, які стосуються відомостей, включених до Державного реєстру, набирають чинності для третіх осіб з дня їх державної реєстрації. </w:t>
      </w:r>
    </w:p>
    <w:p w14:paraId="6F5F64FC"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Товариство та акціонери не мають права посилатися на відсутність державної реєстрації таких змін у відносинах із третіми особами, які діяли з урахуванням цих змін.</w:t>
      </w:r>
    </w:p>
    <w:p w14:paraId="39B211C1"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Після закриття Загальних зборів підсумки голосування доводяться до відома акціонерів протягом 10 робочих днів листом, який надсилається простим поштовим відправленням або вручається особисто. </w:t>
      </w:r>
    </w:p>
    <w:p w14:paraId="7F5FFCD7"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2073BB3E"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10.3. Структура акціонерів та їх частка в акціонерному капіталі</w:t>
      </w:r>
    </w:p>
    <w:p w14:paraId="12E30C2C"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Акціонери ПрАТ "Завод "Часівоярські автобуси", які володіють 5% та більше акцій у статутному капіталі:</w:t>
      </w:r>
    </w:p>
    <w:p w14:paraId="2B56B4E0"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Полосухiн Олексiй Володимирович -  38.075657%</w:t>
      </w:r>
    </w:p>
    <w:p w14:paraId="3865B464"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Полосухiн Олександр Володимирович -  38.075638%</w:t>
      </w:r>
    </w:p>
    <w:p w14:paraId="30C630F4"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Зоря Яків Семенович                           -  9.006427%</w:t>
      </w:r>
    </w:p>
    <w:p w14:paraId="3E50C533"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Фізичні та юридичні особи з часткою менше 2% у статутному капіталі у кількості 387 осіб, що складають  14,84%</w:t>
      </w:r>
    </w:p>
    <w:p w14:paraId="3BAA1716"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07446D81"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10.4. Інформація щодо власників цінних паперів з особливими правами контролю та опис цих прав</w:t>
      </w:r>
    </w:p>
    <w:p w14:paraId="67299E6A"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Товариство не випускало акцій з особливими правами контролю.</w:t>
      </w:r>
    </w:p>
    <w:p w14:paraId="42AF3D52"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57D05372"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10.5.  Діяльність підприємства стосовно операцій з власними акціями</w:t>
      </w:r>
    </w:p>
    <w:p w14:paraId="6E1E2264"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У 2025 році ніяких операцій з власними акціями ПрАТ "Завод "Часівоярські автобуси" не проводило.</w:t>
      </w:r>
    </w:p>
    <w:p w14:paraId="151A3856"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29F00533"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10.6. Інформація щодо основних характеристик системи внутрішнього контролю</w:t>
      </w:r>
    </w:p>
    <w:p w14:paraId="780433B7"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Спеціального документу, яким би описувалися характеристики систем внутрішнього контролю та управління ризиками в Товаристві не створено та не затверджено. Проте при здійсненні внутрішнього контролю використовуються різні методи, вони включають в себе такі елементи, як:</w:t>
      </w:r>
    </w:p>
    <w:p w14:paraId="5440EA8A"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1)</w:t>
      </w:r>
      <w:r w:rsidRPr="00B83176">
        <w:rPr>
          <w:rFonts w:eastAsia="Times New Roman" w:cs="Times New Roman"/>
          <w:kern w:val="0"/>
          <w:sz w:val="20"/>
          <w:szCs w:val="20"/>
          <w:lang w:val="en-US" w:eastAsia="uk-UA"/>
          <w14:ligatures w14:val="none"/>
        </w:rPr>
        <w:tab/>
        <w:t>бухгалтерський фінансовий облік(інвентаризація і документація, рахунки і подвійний запис);</w:t>
      </w:r>
    </w:p>
    <w:p w14:paraId="5972A219"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2)</w:t>
      </w:r>
      <w:r w:rsidRPr="00B83176">
        <w:rPr>
          <w:rFonts w:eastAsia="Times New Roman" w:cs="Times New Roman"/>
          <w:kern w:val="0"/>
          <w:sz w:val="20"/>
          <w:szCs w:val="20"/>
          <w:lang w:val="en-US" w:eastAsia="uk-UA"/>
          <w14:ligatures w14:val="none"/>
        </w:rPr>
        <w:tab/>
        <w:t>бухгалтерський управлінський облік (розподіл обов'язків, нормування витрат);</w:t>
      </w:r>
    </w:p>
    <w:p w14:paraId="1DC17D7D"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3)</w:t>
      </w:r>
      <w:r w:rsidRPr="00B83176">
        <w:rPr>
          <w:rFonts w:eastAsia="Times New Roman" w:cs="Times New Roman"/>
          <w:kern w:val="0"/>
          <w:sz w:val="20"/>
          <w:szCs w:val="20"/>
          <w:lang w:val="en-US" w:eastAsia="uk-UA"/>
          <w14:ligatures w14:val="none"/>
        </w:rPr>
        <w:tab/>
        <w:t>аудит,контроль, ревізія (перевірка документів, перевірка вірності арифметичних розрахунків, перевірка дотримання правил обліку окремих господарських операцій, інвентаризація, усне опитування персоналу, підтвердження і простежування).</w:t>
      </w:r>
    </w:p>
    <w:p w14:paraId="22F7E72C"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1B6C56C2"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Всі перераховані вище методи становлять єдину систему і використовуються в цілях управління підприємством.</w:t>
      </w:r>
    </w:p>
    <w:p w14:paraId="264906CD"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Метою управління ризиками є їхня мінімізація або мінімізація їхніх наслідків. Наражання на фінансові ризики виникає в процесі звичайної діяльності Товариства.</w:t>
      </w:r>
    </w:p>
    <w:p w14:paraId="5A96B466"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6293834C"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Основні фінансові інструменти підприємства, які несуть в собі фінансові ризики, включають грошові кошти, дебіторську заборгованість, кредиторську заборгованість, та піддаються наступним фінансовим ризикам:</w:t>
      </w:r>
    </w:p>
    <w:p w14:paraId="5020D712"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16E7ACED"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ринковий ризик: зміни на ринку можуть істотно вплинути на активи/зобов'язання. Ринковий ризик складається з ризику процентної ставки і цінового ризику;</w:t>
      </w:r>
    </w:p>
    <w:p w14:paraId="50E1BC57"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ризик втрати ліквідності: товариство може не виконати своїх зобов'язань з причини недостатності (дефіциту) обігових коштів; тож за певних несприятливих обставин, може бути змушене продати свої активи за більш низькою ціною, ніж їхня справедлива вартість, з метою погашення зобов'язань;</w:t>
      </w:r>
    </w:p>
    <w:p w14:paraId="7F0330F1"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кредитний ризик: товариство може зазнати збитків у разі невиконання фінансових зобов'язань контрагентами (дебіторами).</w:t>
      </w:r>
    </w:p>
    <w:p w14:paraId="38797780"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26EA3D59"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Ринковий ризик</w:t>
      </w:r>
    </w:p>
    <w:p w14:paraId="03403CA1"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Всі фінансові інструменти схильні до ринкового ризику - ризику того, що майбутні ринкові умови можуть знецінити інструмент. Підприємство не піддається валютному ризику, тому що у звітному році не здійснювало валютні операції і має валютні залишки та заборгованості. Ціновим ризиком є ризик того, що вартість фінансового інструмента буде змінюватися внаслідок змін ринкових цін. Ці зміни можуть бути викликані факторами, характерними для окремого інструменту або факторами, які впливають на всі інструменти ринку. Процентних фінансових зобов'язань немає. Підприємство не піддається ризику коливання процентних ставок, оскільки не має кредитів.</w:t>
      </w:r>
    </w:p>
    <w:p w14:paraId="52628FEE"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2A387415"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Ризик втрати ліквідності</w:t>
      </w:r>
    </w:p>
    <w:p w14:paraId="52CA1335"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Товариство періодично проводить моніторинг показників ліквідності та вживає заходів, для запобігання зниження встановлених показників ліквідності. Товариство має доступ до фінансування у достатньому обсязі. Підприємство здійснює контроль ліквідності, шляхом планування поточної ліквідності. Підприємство аналізує терміни платежів, які пов'язані з дебіторською заборгованістю та іншими фінансовими активами, а також прогнозні потоки грошових коштів від операційної діяльності.</w:t>
      </w:r>
    </w:p>
    <w:p w14:paraId="2D4FC055"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67923BD1"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Кредитний ризик</w:t>
      </w:r>
    </w:p>
    <w:p w14:paraId="700DB0F1"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Підприємство схильне до кредитного ризику, який виражається як ризик того, що контрагент - дебітор не буде здатний в повному обсязі і в певний час погасити свої зобов'язання. Кредитний ризик регулярно контролюється. Управління кредитним ризиком здійснюється, в основному, за допомогою аналізу здатності контрагента сплатити заборгованість. Підприємство укладає угоди виключно з відомими та фінансово стабільними сторонами. Кредитний ризик стосується дебіторської заборгованості. Дебіторська заборгованість регулярно перевіряється на існування ознак знецінення, створюються резерви під знецінення за необхідності.</w:t>
      </w:r>
    </w:p>
    <w:p w14:paraId="5849FC98"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Крім зазначених вище, суттєвий вплив на діяльність Товариства можуть мати такі зовнішні ризики, як:</w:t>
      </w:r>
    </w:p>
    <w:p w14:paraId="296C348D"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нестабільність, суперечливість законодавства;</w:t>
      </w:r>
    </w:p>
    <w:p w14:paraId="3728DD30"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lastRenderedPageBreak/>
        <w:t>- непередбачені дії державних органів;</w:t>
      </w:r>
    </w:p>
    <w:p w14:paraId="35BA5DB8"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нестабільність економічної (фінансової, податкової, зовнішньоекономічної і ін.) політики;</w:t>
      </w:r>
    </w:p>
    <w:p w14:paraId="49AA292B"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непередбачена зміна кон'юнктури внутрішнього і зовнішнього ринку;</w:t>
      </w:r>
    </w:p>
    <w:p w14:paraId="1FFA41D9"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непередбачені дії конкурентів.</w:t>
      </w:r>
    </w:p>
    <w:p w14:paraId="5EBCD289"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Служби з внутрішнього контролю та управління ризиками не створено. Менеджмент приймає рішення з мінімазації ризиків, спираючись на власні знання та досвід, та застосовуючи наявні ресурси.</w:t>
      </w:r>
    </w:p>
    <w:p w14:paraId="0CE5AE29"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62570CF2"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10.7.  Дивідендна політика</w:t>
      </w:r>
    </w:p>
    <w:p w14:paraId="409886A4"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Порядок розподілу прибутку і покриття збитків Товариства визначається рішенням загальних зборів відповідно до чинного законодавства України та Статуту. </w:t>
      </w:r>
    </w:p>
    <w:p w14:paraId="36721C8B"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 Порядок розподілу прибутку і покриття збитків Товариства визначається рішенням Загальних зборів відповідно до чинного законодавства України та Статуту Товариства. </w:t>
      </w:r>
    </w:p>
    <w:p w14:paraId="52BDC79A"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Порядок розподілу прибутку затверджується Загальними зборами Товариства.</w:t>
      </w:r>
    </w:p>
    <w:p w14:paraId="559F473F"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У разі прийняття Загальними зборами Товариства рішення про виплату дивідендів, Товариство зобов'язане виплатити їх не пізніше 6 (шести) місяців з дня прийняття Загальними зборами рішення про виплату дивідендів. У разі прийняття Загальними зборами Товариства рішення щодо виплати дивідендів у строк, менший ніж 6 місяців з дня прийняття відповідного рішення, виплата дивідендів здійснюється у строк, визначений Загальними зборами.</w:t>
      </w:r>
    </w:p>
    <w:p w14:paraId="5A7D0FBB"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Після закінчення цього терміну не отримані акціонерами дивіденди депонуються та виплачуються за письмовою вимогою акціонерів.</w:t>
      </w:r>
    </w:p>
    <w:p w14:paraId="0AD15C97"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Дивіденди за акціями Товариства виплачуються виключно у грошовій формі один раз на рік з чистого прибутку звітного року та/або нерозподіленого прибутку шляхом перерахування на банківський рахунок особи, яка має право на отримання дивідендів, або готівкою з каси Товариства. </w:t>
      </w:r>
    </w:p>
    <w:p w14:paraId="1CD9D6AA"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Дивіденди нараховуються на кожну акцію. Дивіденди нараховуються в однаковому розмірі за акціями одного типу та класу.</w:t>
      </w:r>
    </w:p>
    <w:p w14:paraId="6C0CE802"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Рішення про виплату дивідендів та їх розмір за простими акціями приймається Загальними зборами Товариства.</w:t>
      </w:r>
    </w:p>
    <w:p w14:paraId="462D9408"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Право на отримання дивідендів мають особи, які є акціонерами Товариства на дату складення переліку осіб, які мають право на отримання дивідендів, визначену Наглядовою радою Товариства. Дата складання такого переліку визначається рішенням Наглядової ради, але не раніше ніж через 10 робочих днів після дня прийняття такого рішення Наглядовою радою.</w:t>
      </w:r>
    </w:p>
    <w:p w14:paraId="5D94C1C2"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Товариство письмово повідомляє осіб, які мають право на отримання дивідендів, про дату, розмір, порядок та строк їх виплати шляхом письмового повідомлення, яке направляється таким особам Наглядовою радою Товариства у спосіб, що визначається Наглядовою радою Товариства.</w:t>
      </w:r>
    </w:p>
    <w:p w14:paraId="2EDA1AED"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Товариство не має права приймати рішення про виплату дивідендів у разі, якщо: </w:t>
      </w:r>
    </w:p>
    <w:p w14:paraId="0047BBB6"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звіт про результати розміщення акцій не зареєстровано у встановленому законодавством порядку; </w:t>
      </w:r>
    </w:p>
    <w:p w14:paraId="5AF8DEC7"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власний капітал Товариства менший, ніж сума його статутного капіталу, резервного капіталу та розміру перевищення ліквідаційної вартості привілейованих акцій над їх номінальною вартістю. </w:t>
      </w:r>
    </w:p>
    <w:p w14:paraId="188751D6"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      Товариство не має права здійснювати виплату дивідендів за простими акціями у разі, якщо: </w:t>
      </w:r>
    </w:p>
    <w:p w14:paraId="1A5B42EE"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Товариство має зобов'язання про викуп акцій відповідно до статті 68 Закону України "Про акціонерні товариства";</w:t>
      </w:r>
    </w:p>
    <w:p w14:paraId="3A23632D"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Поточні дивіденди за привілейованими акціями не виплачено повністю. </w:t>
      </w:r>
    </w:p>
    <w:p w14:paraId="7AA09075"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Товариство покриває збитки відповідно до вимог чинного законодавства України. </w:t>
      </w:r>
    </w:p>
    <w:p w14:paraId="7CD2D3E8"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  Спосіб виплати дивідендів визначається відповідним рішенням Загальних зборів Товариства.</w:t>
      </w:r>
    </w:p>
    <w:p w14:paraId="3F1871C7"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27D1BAEF"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10.8. Перспектива розвитку та удосконалення корпоративного управління</w:t>
      </w:r>
    </w:p>
    <w:p w14:paraId="33FD1BEC"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Товариство забезпечує корпоративне управління у правовому полі та постійно удосконалює цю систему. Це відбувається за рахунок отримання конкурентних переваг шляхом розробок та реалізації як корпоративної стратегії конкурентоспроможності в цілому, так і окремих її функціональних стратегій. Насамперед, йдеться про техніко-технологічні, виробничі, фінансово-інвестиційні, інноваційні, маркетингові стратегії; стратегії екологізації, зростання людського капіталу, трудових ресурсів та продуктивності праці.</w:t>
      </w:r>
    </w:p>
    <w:p w14:paraId="1024EFF3"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7415EE21"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10.9. Політика підприємства стосовно адміністративних, управлінських та наглядових органів підприємства (вимоги стосовно до віку, статі, освіти та професійного досвіду</w:t>
      </w:r>
    </w:p>
    <w:p w14:paraId="085D5251"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Вимоги стосовно до віку, статі до персоналу не висовуються.</w:t>
      </w:r>
    </w:p>
    <w:p w14:paraId="7F2B974F"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Вимоги стосовно освіти та професійного досвіду адміністративних та управлінських органів висовуються згідно державних Довідників кваліфікаційних характеристик професій працівників.</w:t>
      </w:r>
    </w:p>
    <w:p w14:paraId="4658A025"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Корпоративний кодекс корпоративного управління загальними зборами Товариства не затверджувався.</w:t>
      </w:r>
    </w:p>
    <w:p w14:paraId="51047B64"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33FE7DE6"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4530C0D6"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 Директор</w:t>
      </w:r>
      <w:r w:rsidRPr="00B83176">
        <w:rPr>
          <w:rFonts w:eastAsia="Times New Roman" w:cs="Times New Roman"/>
          <w:kern w:val="0"/>
          <w:sz w:val="20"/>
          <w:szCs w:val="20"/>
          <w:lang w:val="en-US" w:eastAsia="uk-UA"/>
          <w14:ligatures w14:val="none"/>
        </w:rPr>
        <w:tab/>
        <w:t>________________</w:t>
      </w:r>
      <w:r w:rsidRPr="00B83176">
        <w:rPr>
          <w:rFonts w:eastAsia="Times New Roman" w:cs="Times New Roman"/>
          <w:kern w:val="0"/>
          <w:sz w:val="20"/>
          <w:szCs w:val="20"/>
          <w:lang w:val="en-US" w:eastAsia="uk-UA"/>
          <w14:ligatures w14:val="none"/>
        </w:rPr>
        <w:tab/>
        <w:t>Полосухін Олексій  Володимирович</w:t>
      </w:r>
    </w:p>
    <w:p w14:paraId="7A62BB3D"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ab/>
        <w:t>(підпис)</w:t>
      </w:r>
      <w:r w:rsidRPr="00B83176">
        <w:rPr>
          <w:rFonts w:eastAsia="Times New Roman" w:cs="Times New Roman"/>
          <w:kern w:val="0"/>
          <w:sz w:val="20"/>
          <w:szCs w:val="20"/>
          <w:lang w:val="en-US" w:eastAsia="uk-UA"/>
          <w14:ligatures w14:val="none"/>
        </w:rPr>
        <w:tab/>
      </w:r>
    </w:p>
    <w:p w14:paraId="38B609C6"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ab/>
      </w:r>
      <w:r w:rsidRPr="00B83176">
        <w:rPr>
          <w:rFonts w:eastAsia="Times New Roman" w:cs="Times New Roman"/>
          <w:kern w:val="0"/>
          <w:sz w:val="20"/>
          <w:szCs w:val="20"/>
          <w:lang w:val="en-US" w:eastAsia="uk-UA"/>
          <w14:ligatures w14:val="none"/>
        </w:rPr>
        <w:tab/>
      </w:r>
    </w:p>
    <w:p w14:paraId="3AA1B916"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Головний бухгалтер    </w:t>
      </w:r>
      <w:r w:rsidRPr="00B83176">
        <w:rPr>
          <w:rFonts w:eastAsia="Times New Roman" w:cs="Times New Roman"/>
          <w:kern w:val="0"/>
          <w:sz w:val="20"/>
          <w:szCs w:val="20"/>
          <w:lang w:val="en-US" w:eastAsia="uk-UA"/>
          <w14:ligatures w14:val="none"/>
        </w:rPr>
        <w:tab/>
        <w:t>________________</w:t>
      </w:r>
      <w:r w:rsidRPr="00B83176">
        <w:rPr>
          <w:rFonts w:eastAsia="Times New Roman" w:cs="Times New Roman"/>
          <w:kern w:val="0"/>
          <w:sz w:val="20"/>
          <w:szCs w:val="20"/>
          <w:lang w:val="en-US" w:eastAsia="uk-UA"/>
          <w14:ligatures w14:val="none"/>
        </w:rPr>
        <w:tab/>
        <w:t xml:space="preserve">Чуприніна Яна Геннадіївна </w:t>
      </w:r>
    </w:p>
    <w:p w14:paraId="694657C2"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ab/>
        <w:t>(підпис)</w:t>
      </w:r>
      <w:r w:rsidRPr="00B83176">
        <w:rPr>
          <w:rFonts w:eastAsia="Times New Roman" w:cs="Times New Roman"/>
          <w:kern w:val="0"/>
          <w:sz w:val="20"/>
          <w:szCs w:val="20"/>
          <w:lang w:val="en-US" w:eastAsia="uk-UA"/>
          <w14:ligatures w14:val="none"/>
        </w:rPr>
        <w:tab/>
      </w:r>
    </w:p>
    <w:p w14:paraId="4AA1945A"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33C52999"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2DD99173" w14:textId="77777777" w:rsidR="00B83176" w:rsidRPr="00B83176" w:rsidRDefault="00B83176" w:rsidP="00B83176">
      <w:pPr>
        <w:spacing w:after="0"/>
        <w:rPr>
          <w:rFonts w:eastAsia="Times New Roman" w:cs="Times New Roman"/>
          <w:kern w:val="0"/>
          <w:sz w:val="20"/>
          <w:szCs w:val="20"/>
          <w:lang w:eastAsia="uk-UA"/>
          <w14:ligatures w14:val="none"/>
        </w:rPr>
      </w:pPr>
    </w:p>
    <w:p w14:paraId="0EADAB78" w14:textId="77777777" w:rsidR="00B83176" w:rsidRPr="00B83176" w:rsidRDefault="00B83176" w:rsidP="00B83176">
      <w:pPr>
        <w:spacing w:after="0"/>
        <w:rPr>
          <w:rFonts w:eastAsia="Times New Roman" w:cs="Times New Roman"/>
          <w:b/>
          <w:kern w:val="0"/>
          <w:sz w:val="22"/>
          <w:lang w:val="uk-UA" w:eastAsia="uk-UA"/>
          <w14:ligatures w14:val="none"/>
        </w:rPr>
      </w:pPr>
      <w:r w:rsidRPr="00B83176">
        <w:rPr>
          <w:rFonts w:eastAsia="Times New Roman" w:cs="Times New Roman"/>
          <w:b/>
          <w:kern w:val="0"/>
          <w:sz w:val="22"/>
          <w:lang w:val="uk-UA" w:eastAsia="uk-UA"/>
          <w14:ligatures w14:val="none"/>
        </w:rPr>
        <w:t>2) Звернення до акціонерів/учасників та інших стейкхолдерів від керівника особи</w:t>
      </w:r>
    </w:p>
    <w:p w14:paraId="3797C108" w14:textId="77777777" w:rsidR="00B83176" w:rsidRPr="00B83176" w:rsidRDefault="00B83176" w:rsidP="00B83176">
      <w:pPr>
        <w:spacing w:after="0"/>
        <w:rPr>
          <w:rFonts w:eastAsia="Times New Roman" w:cs="Times New Roman"/>
          <w:b/>
          <w:kern w:val="0"/>
          <w:sz w:val="22"/>
          <w:lang w:val="uk-UA" w:eastAsia="uk-UA"/>
          <w14:ligatures w14:val="none"/>
        </w:rPr>
      </w:pPr>
    </w:p>
    <w:p w14:paraId="53D530B6"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д/в</w:t>
      </w:r>
    </w:p>
    <w:p w14:paraId="34BAAA08" w14:textId="77777777" w:rsidR="00B83176" w:rsidRPr="00B83176" w:rsidRDefault="00B83176" w:rsidP="00B83176">
      <w:pPr>
        <w:spacing w:after="0"/>
        <w:rPr>
          <w:rFonts w:eastAsia="Times New Roman" w:cs="Times New Roman"/>
          <w:b/>
          <w:kern w:val="0"/>
          <w:sz w:val="22"/>
          <w:szCs w:val="24"/>
          <w:lang w:val="uk-UA" w:eastAsia="uk-UA"/>
          <w14:ligatures w14:val="none"/>
        </w:rPr>
      </w:pPr>
    </w:p>
    <w:p w14:paraId="7819CEAB" w14:textId="77777777" w:rsidR="00B83176" w:rsidRPr="00B83176" w:rsidRDefault="00B83176" w:rsidP="00B83176">
      <w:pPr>
        <w:spacing w:after="0"/>
        <w:rPr>
          <w:rFonts w:eastAsia="Times New Roman" w:cs="Times New Roman"/>
          <w:b/>
          <w:kern w:val="0"/>
          <w:sz w:val="22"/>
          <w:szCs w:val="24"/>
          <w:lang w:val="uk-UA" w:eastAsia="uk-UA"/>
          <w14:ligatures w14:val="none"/>
        </w:rPr>
      </w:pPr>
      <w:r w:rsidRPr="00B83176">
        <w:rPr>
          <w:rFonts w:eastAsia="Times New Roman" w:cs="Times New Roman"/>
          <w:b/>
          <w:kern w:val="0"/>
          <w:sz w:val="22"/>
          <w:szCs w:val="24"/>
          <w:lang w:val="uk-UA" w:eastAsia="uk-UA"/>
          <w14:ligatures w14:val="none"/>
        </w:rPr>
        <w:lastRenderedPageBreak/>
        <w:t>3) Інформаці</w:t>
      </w:r>
      <w:r w:rsidRPr="00B83176">
        <w:rPr>
          <w:rFonts w:eastAsia="Times New Roman" w:cs="Times New Roman"/>
          <w:b/>
          <w:kern w:val="0"/>
          <w:sz w:val="22"/>
          <w:szCs w:val="24"/>
          <w:lang w:eastAsia="uk-UA"/>
          <w14:ligatures w14:val="none"/>
        </w:rPr>
        <w:t>я</w:t>
      </w:r>
      <w:r w:rsidRPr="00B83176">
        <w:rPr>
          <w:rFonts w:eastAsia="Times New Roman" w:cs="Times New Roman"/>
          <w:b/>
          <w:kern w:val="0"/>
          <w:sz w:val="22"/>
          <w:szCs w:val="24"/>
          <w:lang w:val="uk-UA" w:eastAsia="uk-UA"/>
          <w14:ligatures w14:val="none"/>
        </w:rPr>
        <w:t xml:space="preserve"> про розвиток та вірогідні перспективи подальшого розвитку особи</w:t>
      </w:r>
    </w:p>
    <w:p w14:paraId="111A6731" w14:textId="77777777" w:rsidR="00B83176" w:rsidRPr="00B83176" w:rsidRDefault="00B83176" w:rsidP="00B83176">
      <w:pPr>
        <w:spacing w:after="0"/>
        <w:rPr>
          <w:rFonts w:eastAsia="Times New Roman" w:cs="Times New Roman"/>
          <w:b/>
          <w:kern w:val="0"/>
          <w:sz w:val="22"/>
          <w:szCs w:val="24"/>
          <w:lang w:val="uk-UA" w:eastAsia="uk-UA"/>
          <w14:ligatures w14:val="none"/>
        </w:rPr>
      </w:pPr>
    </w:p>
    <w:p w14:paraId="3CF57A06"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Економіка Товариства , як і України в цілому , розвивалася в звітному році під впливом складних умов.</w:t>
      </w:r>
    </w:p>
    <w:p w14:paraId="30570D00"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Актуальною залишається проблема більш активного наповнення  заводського портфелю замовлень. Вимоги до парку автобусів, які виготовляються на заводі , що працюватимуть на маршрутах загального користування, визначена органами виконавчої влади та органами місцевого самоврядування за пасажиромісткістю, класом, технічними та екологічними показниками. А саме: обладнання двигунами , що відповідають нормам  екологічної безпеки не нижче ЄВРО 5, пасажиромісткість не менше  21 місця для сидіння(крім водія). Конструкції автобусів, які пристосовані для перевезення осіб з інвалідністю, повинні передбачати можливість перевезення одного інвалідного візка. Автобуси повинні бути обладнані електронними інформаційними табло. </w:t>
      </w:r>
    </w:p>
    <w:p w14:paraId="169A8428"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   Підприємство працює над розробкою та впровадженням у виробництво нових моделей автобусів для утримання на ринку виробників автобусів; проводить їх сертифікацію в акредитованих органах відповідно до чинного законодавства України. ПрАТ приступило до розробки нової продукції на базі комплектуючих FORD та  IVEKO (автомобіль,без кузова,незавершений КТЗ). </w:t>
      </w:r>
    </w:p>
    <w:p w14:paraId="40CCAD20"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Підприємство перевезло свої активи та планує наладити виробництво за новою адресою .</w:t>
      </w:r>
    </w:p>
    <w:p w14:paraId="071A801E"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Договір б/н від 24.05.2022 р. на аренду нежитлового приміщення (453,0 м2) за адресою : м.Черкаси, вул. Смелянська , б.169</w:t>
      </w:r>
    </w:p>
    <w:p w14:paraId="1EB1AA0F"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20D5CCE7"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45229063" w14:textId="77777777" w:rsidR="00B83176" w:rsidRPr="00B83176" w:rsidRDefault="00B83176" w:rsidP="00B83176">
      <w:pPr>
        <w:spacing w:after="0"/>
        <w:rPr>
          <w:rFonts w:eastAsia="Times New Roman" w:cs="Times New Roman"/>
          <w:b/>
          <w:kern w:val="0"/>
          <w:sz w:val="22"/>
          <w:szCs w:val="24"/>
          <w:lang w:val="uk-UA" w:eastAsia="uk-UA"/>
          <w14:ligatures w14:val="none"/>
        </w:rPr>
      </w:pPr>
    </w:p>
    <w:p w14:paraId="5A09F0F8" w14:textId="77777777" w:rsidR="00B83176" w:rsidRPr="00B83176" w:rsidRDefault="00B83176" w:rsidP="00B83176">
      <w:pPr>
        <w:spacing w:after="0"/>
        <w:rPr>
          <w:rFonts w:eastAsia="Times New Roman" w:cs="Times New Roman"/>
          <w:b/>
          <w:kern w:val="0"/>
          <w:sz w:val="20"/>
          <w:szCs w:val="24"/>
          <w:lang w:val="uk-UA" w:eastAsia="uk-UA"/>
          <w14:ligatures w14:val="none"/>
        </w:rPr>
      </w:pPr>
      <w:r w:rsidRPr="00B83176">
        <w:rPr>
          <w:rFonts w:eastAsia="Times New Roman" w:cs="Times New Roman"/>
          <w:b/>
          <w:kern w:val="0"/>
          <w:sz w:val="22"/>
          <w:szCs w:val="24"/>
          <w:lang w:val="uk-UA" w:eastAsia="uk-UA"/>
          <w14:ligatures w14:val="none"/>
        </w:rPr>
        <w:t>4) Інформація про укладення деривативних контрактів або вчинення правочинів щодо деривативних цінних паперів емітентом (крім укладених/вчинених особою, яка провадить клірингову діяльність центрального контрагента, у межах провадження нею клірингової діяльності центрального контрагента), якщо це впливає на оцінку його активів, зобов’язань, фінансового стану і доходів або витрат</w:t>
      </w:r>
    </w:p>
    <w:p w14:paraId="4A6E2D1D" w14:textId="77777777" w:rsidR="00B83176" w:rsidRPr="00B83176" w:rsidRDefault="00B83176" w:rsidP="00B83176">
      <w:pPr>
        <w:spacing w:after="0"/>
        <w:rPr>
          <w:rFonts w:eastAsia="Times New Roman" w:cs="Times New Roman"/>
          <w:b/>
          <w:kern w:val="0"/>
          <w:sz w:val="20"/>
          <w:lang w:val="uk-UA" w:eastAsia="uk-UA"/>
          <w14:ligatures w14:val="none"/>
        </w:rPr>
      </w:pPr>
    </w:p>
    <w:p w14:paraId="7FC59543" w14:textId="77777777" w:rsidR="00B83176" w:rsidRPr="00B83176" w:rsidRDefault="00B83176" w:rsidP="00B83176">
      <w:pPr>
        <w:spacing w:after="0"/>
        <w:rPr>
          <w:rFonts w:eastAsia="Times New Roman" w:cs="Times New Roman"/>
          <w:kern w:val="0"/>
          <w:sz w:val="20"/>
          <w:lang w:val="en-US" w:eastAsia="uk-UA"/>
          <w14:ligatures w14:val="none"/>
        </w:rPr>
      </w:pPr>
      <w:r w:rsidRPr="00B83176">
        <w:rPr>
          <w:rFonts w:eastAsia="Times New Roman" w:cs="Times New Roman"/>
          <w:kern w:val="0"/>
          <w:sz w:val="20"/>
          <w:lang w:val="en-US" w:eastAsia="uk-UA"/>
          <w14:ligatures w14:val="none"/>
        </w:rPr>
        <w:t>Деривативів або вчинення правочинів щодо похідних цінних паперів у 2024році не було.</w:t>
      </w:r>
    </w:p>
    <w:p w14:paraId="59FC2279" w14:textId="77777777" w:rsidR="00B83176" w:rsidRPr="00B83176" w:rsidRDefault="00B83176" w:rsidP="00B83176">
      <w:pPr>
        <w:spacing w:after="0"/>
        <w:rPr>
          <w:rFonts w:eastAsia="Times New Roman" w:cs="Times New Roman"/>
          <w:b/>
          <w:kern w:val="0"/>
          <w:sz w:val="20"/>
          <w:lang w:val="uk-UA" w:eastAsia="uk-UA"/>
          <w14:ligatures w14:val="none"/>
        </w:rPr>
      </w:pPr>
    </w:p>
    <w:p w14:paraId="38C374F8" w14:textId="77777777" w:rsidR="00B83176" w:rsidRPr="00B83176" w:rsidRDefault="00B83176" w:rsidP="00B83176">
      <w:pPr>
        <w:spacing w:after="0"/>
        <w:rPr>
          <w:rFonts w:eastAsia="Times New Roman" w:cs="Times New Roman"/>
          <w:b/>
          <w:kern w:val="0"/>
          <w:sz w:val="22"/>
          <w:szCs w:val="24"/>
          <w:lang w:val="uk-UA" w:eastAsia="uk-UA"/>
          <w14:ligatures w14:val="none"/>
        </w:rPr>
      </w:pPr>
      <w:r w:rsidRPr="00B83176">
        <w:rPr>
          <w:rFonts w:eastAsia="Times New Roman" w:cs="Times New Roman"/>
          <w:b/>
          <w:kern w:val="0"/>
          <w:sz w:val="22"/>
          <w:szCs w:val="24"/>
          <w:lang w:val="uk-UA" w:eastAsia="uk-UA"/>
          <w14:ligatures w14:val="none"/>
        </w:rPr>
        <w:t>Інформація про завдання та політику особи щодо управління фінансовими ризиками, у тому числі політику щодо страхування кожного основного виду прогнозованої операції, для якої використовуються операції хеджування</w:t>
      </w:r>
    </w:p>
    <w:p w14:paraId="3D6B0EFB" w14:textId="77777777" w:rsidR="00B83176" w:rsidRPr="00B83176" w:rsidRDefault="00B83176" w:rsidP="00B83176">
      <w:pPr>
        <w:spacing w:after="0"/>
        <w:rPr>
          <w:rFonts w:eastAsia="Times New Roman" w:cs="Times New Roman"/>
          <w:b/>
          <w:kern w:val="0"/>
          <w:sz w:val="22"/>
          <w:szCs w:val="24"/>
          <w:lang w:val="uk-UA" w:eastAsia="uk-UA"/>
          <w14:ligatures w14:val="none"/>
        </w:rPr>
      </w:pPr>
    </w:p>
    <w:p w14:paraId="4F2A9890"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У Товаристві відсутня політика щодо страхування кожного основного виду прогнозованої операції, оскільки операції хеджування не використовуються.</w:t>
      </w:r>
    </w:p>
    <w:p w14:paraId="302B9CF0" w14:textId="77777777" w:rsidR="00B83176" w:rsidRPr="00B83176" w:rsidRDefault="00B83176" w:rsidP="00B83176">
      <w:pPr>
        <w:spacing w:after="0"/>
        <w:rPr>
          <w:rFonts w:eastAsia="Times New Roman" w:cs="Times New Roman"/>
          <w:b/>
          <w:kern w:val="0"/>
          <w:sz w:val="22"/>
          <w:szCs w:val="24"/>
          <w:lang w:val="uk-UA" w:eastAsia="uk-UA"/>
          <w14:ligatures w14:val="none"/>
        </w:rPr>
      </w:pPr>
    </w:p>
    <w:p w14:paraId="143067C0" w14:textId="77777777" w:rsidR="00B83176" w:rsidRPr="00B83176" w:rsidRDefault="00B83176" w:rsidP="00B83176">
      <w:pPr>
        <w:spacing w:after="0"/>
        <w:rPr>
          <w:rFonts w:eastAsia="Times New Roman" w:cs="Times New Roman"/>
          <w:b/>
          <w:kern w:val="0"/>
          <w:sz w:val="22"/>
          <w:lang w:val="uk-UA" w:eastAsia="uk-UA"/>
          <w14:ligatures w14:val="none"/>
        </w:rPr>
      </w:pPr>
      <w:r w:rsidRPr="00B83176">
        <w:rPr>
          <w:rFonts w:eastAsia="Times New Roman" w:cs="Times New Roman"/>
          <w:b/>
          <w:kern w:val="0"/>
          <w:sz w:val="22"/>
          <w:lang w:val="uk-UA" w:eastAsia="uk-UA"/>
          <w14:ligatures w14:val="none"/>
        </w:rPr>
        <w:t>Інформація про схильність особи до цінових ризиків, кредитного ризику, ризику ліквідності та/або ризику грошових потоків</w:t>
      </w:r>
    </w:p>
    <w:p w14:paraId="2008EBF2" w14:textId="77777777" w:rsidR="00B83176" w:rsidRPr="00B83176" w:rsidRDefault="00B83176" w:rsidP="00B83176">
      <w:pPr>
        <w:spacing w:after="0"/>
        <w:rPr>
          <w:rFonts w:eastAsia="Times New Roman" w:cs="Times New Roman"/>
          <w:b/>
          <w:kern w:val="0"/>
          <w:sz w:val="22"/>
          <w:lang w:val="uk-UA" w:eastAsia="uk-UA"/>
          <w14:ligatures w14:val="none"/>
        </w:rPr>
      </w:pPr>
    </w:p>
    <w:p w14:paraId="1150696D"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Дуже важливим залишається питання  кредитування споживачів та замовників даної продукції. Також гальмує складання прогнозів  та планів на виробництво політика цін на енергоносії та основні комплектуючі, матеріали  для виготовлення готової продукції; ситуація в країні, через географічне розташування потужностей виробництва в близкості до зони АТО. На пiдприємствi має мiсце недовикористання промислового потенцiалу. </w:t>
      </w:r>
    </w:p>
    <w:p w14:paraId="54E92B26"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      Управління ризиками на ПрАТ "Завод "Часівоярські автобуси" включає розробку і реалізацію економічно обґрунтованих рекомендацій і заходів, які спирається на результати оцінки рисків, техніко-технологічній і економічний аналіз потенціалу і середовища функціонування підприємства, нормативну базу господарювання, що діє і прогнозовану, економіко-математичні методи, маркетингові і інші дослідження.</w:t>
      </w:r>
    </w:p>
    <w:p w14:paraId="1029459F"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     Об'єктом оцінки і управління ризиком є стратегічні вирішення підприємства, стратегічний план, що містить ряд тверджень майбутнього розвитку зовнішнього по відношенню до підприємства середовища, рекомендацій по образу дій керівництва і колективу підприємства, прогнозних висловів про реакції на планованих стратегічних заходах споживачів продукції, постачальників сировини, конкурентів і ін.</w:t>
      </w:r>
    </w:p>
    <w:p w14:paraId="1A609F0F" w14:textId="77777777" w:rsidR="00B83176" w:rsidRPr="00B83176" w:rsidRDefault="00B83176" w:rsidP="00B83176">
      <w:pPr>
        <w:spacing w:after="0"/>
        <w:rPr>
          <w:rFonts w:eastAsia="Times New Roman" w:cs="Times New Roman"/>
          <w:kern w:val="0"/>
          <w:sz w:val="20"/>
          <w:szCs w:val="20"/>
          <w:lang w:val="uk-UA" w:eastAsia="uk-UA"/>
          <w14:ligatures w14:val="none"/>
        </w:rPr>
      </w:pPr>
    </w:p>
    <w:p w14:paraId="0E7AAB43" w14:textId="77777777" w:rsidR="00B83176" w:rsidRPr="00B83176" w:rsidRDefault="00B83176" w:rsidP="00B83176">
      <w:pPr>
        <w:widowControl w:val="0"/>
        <w:tabs>
          <w:tab w:val="right" w:pos="7710"/>
          <w:tab w:val="right" w:pos="11514"/>
        </w:tabs>
        <w:suppressAutoHyphens/>
        <w:autoSpaceDE w:val="0"/>
        <w:autoSpaceDN w:val="0"/>
        <w:adjustRightInd w:val="0"/>
        <w:spacing w:after="0" w:line="257" w:lineRule="auto"/>
        <w:textAlignment w:val="center"/>
        <w:rPr>
          <w:rFonts w:eastAsia="Times New Roman" w:cs="Times New Roman"/>
          <w:b/>
          <w:color w:val="000000"/>
          <w:kern w:val="0"/>
          <w:sz w:val="24"/>
          <w:szCs w:val="24"/>
          <w:lang w:val="uk-UA" w:eastAsia="uk-UA"/>
          <w14:ligatures w14:val="none"/>
        </w:rPr>
      </w:pPr>
      <w:r w:rsidRPr="00B83176">
        <w:rPr>
          <w:rFonts w:eastAsia="Times New Roman" w:cs="Times New Roman"/>
          <w:b/>
          <w:color w:val="000000"/>
          <w:kern w:val="0"/>
          <w:sz w:val="24"/>
          <w:szCs w:val="24"/>
          <w:lang w:val="uk-UA" w:eastAsia="uk-UA"/>
          <w14:ligatures w14:val="none"/>
        </w:rPr>
        <w:t xml:space="preserve">Частина 2. Інформація про загальні збори акціонерів (учасників) та загальний опис </w:t>
      </w:r>
      <w:r w:rsidRPr="00B83176">
        <w:rPr>
          <w:rFonts w:eastAsia="Times New Roman" w:cs="Times New Roman"/>
          <w:b/>
          <w:color w:val="000000"/>
          <w:kern w:val="0"/>
          <w:sz w:val="24"/>
          <w:szCs w:val="24"/>
          <w:lang w:val="uk-UA" w:eastAsia="uk-UA"/>
          <w14:ligatures w14:val="none"/>
        </w:rPr>
        <w:br/>
        <w:t>прийнятих на таких зборах рішень</w:t>
      </w:r>
      <w:r w:rsidRPr="00B83176">
        <w:rPr>
          <w:rFonts w:eastAsia="Times New Roman" w:cs="Times New Roman"/>
          <w:b/>
          <w:color w:val="000000"/>
          <w:kern w:val="0"/>
          <w:sz w:val="24"/>
          <w:szCs w:val="24"/>
          <w:lang w:val="en-US" w:eastAsia="uk-UA"/>
          <w14:ligatures w14:val="none"/>
        </w:rPr>
        <w:t xml:space="preserve"> :</w:t>
      </w:r>
      <w:r w:rsidRPr="00B83176">
        <w:rPr>
          <w:rFonts w:eastAsia="Times New Roman" w:cs="Times New Roman"/>
          <w:b/>
          <w:color w:val="000000"/>
          <w:kern w:val="0"/>
          <w:sz w:val="24"/>
          <w:szCs w:val="24"/>
          <w:lang w:val="uk-UA" w:eastAsia="uk-UA"/>
          <w14:ligatures w14:val="none"/>
        </w:rPr>
        <w:t xml:space="preserve"> </w:t>
      </w:r>
      <w:r w:rsidRPr="00B83176">
        <w:rPr>
          <w:rFonts w:eastAsia="Times New Roman" w:cs="Times New Roman"/>
          <w:b/>
          <w:color w:val="000000"/>
          <w:kern w:val="0"/>
          <w:sz w:val="24"/>
          <w:szCs w:val="24"/>
          <w:u w:val="single"/>
          <w:lang w:val="en-US" w:eastAsia="uk-UA"/>
          <w14:ligatures w14:val="none"/>
        </w:rPr>
        <w:t>__1__</w:t>
      </w:r>
      <w:r w:rsidRPr="00B83176">
        <w:rPr>
          <w:rFonts w:eastAsia="Times New Roman" w:cs="Times New Roman"/>
          <w:b/>
          <w:color w:val="000000"/>
          <w:kern w:val="0"/>
          <w:sz w:val="24"/>
          <w:szCs w:val="24"/>
          <w:lang w:val="uk-UA" w:eastAsia="uk-UA"/>
          <w14:ligatures w14:val="none"/>
        </w:rPr>
        <w:t xml:space="preserve"> (</w:t>
      </w:r>
      <w:r w:rsidRPr="00B83176">
        <w:rPr>
          <w:rFonts w:eastAsia="Times New Roman" w:cs="Times New Roman"/>
          <w:b/>
          <w:color w:val="000000"/>
          <w:kern w:val="0"/>
          <w:sz w:val="24"/>
          <w:szCs w:val="24"/>
          <w:lang w:eastAsia="uk-UA"/>
          <w14:ligatures w14:val="none"/>
        </w:rPr>
        <w:t xml:space="preserve"> </w:t>
      </w:r>
      <w:r w:rsidRPr="00B83176">
        <w:rPr>
          <w:rFonts w:eastAsia="Times New Roman" w:cs="Times New Roman"/>
          <w:b/>
          <w:color w:val="000000"/>
          <w:kern w:val="0"/>
          <w:sz w:val="24"/>
          <w:szCs w:val="24"/>
          <w:u w:val="single"/>
          <w:lang w:val="en-US" w:eastAsia="uk-UA"/>
          <w14:ligatures w14:val="none"/>
        </w:rPr>
        <w:t>__1__</w:t>
      </w:r>
      <w:r w:rsidRPr="00B83176">
        <w:rPr>
          <w:rFonts w:eastAsia="Times New Roman" w:cs="Times New Roman"/>
          <w:b/>
          <w:color w:val="000000"/>
          <w:kern w:val="0"/>
          <w:sz w:val="24"/>
          <w:szCs w:val="24"/>
          <w:lang w:eastAsia="uk-UA"/>
          <w14:ligatures w14:val="none"/>
        </w:rPr>
        <w:t xml:space="preserve"> </w:t>
      </w:r>
      <w:r w:rsidRPr="00B83176">
        <w:rPr>
          <w:rFonts w:eastAsia="Times New Roman" w:cs="Times New Roman"/>
          <w:b/>
          <w:color w:val="000000"/>
          <w:kern w:val="0"/>
          <w:sz w:val="24"/>
          <w:szCs w:val="24"/>
          <w:lang w:val="uk-UA" w:eastAsia="uk-UA"/>
          <w14:ligatures w14:val="none"/>
        </w:rPr>
        <w:t>)</w:t>
      </w:r>
    </w:p>
    <w:p w14:paraId="1308E609" w14:textId="77777777" w:rsidR="00B83176" w:rsidRPr="00B83176" w:rsidRDefault="00B83176" w:rsidP="00B83176">
      <w:pPr>
        <w:spacing w:after="0" w:line="259" w:lineRule="auto"/>
        <w:rPr>
          <w:rFonts w:eastAsia="Calibri" w:cs="Times New Roman"/>
          <w:kern w:val="0"/>
          <w:sz w:val="22"/>
          <w:lang w:val="uk-UA"/>
          <w14:ligatures w14:val="none"/>
        </w:rPr>
      </w:pPr>
    </w:p>
    <w:tbl>
      <w:tblPr>
        <w:tblStyle w:val="ac"/>
        <w:tblW w:w="5000" w:type="pct"/>
        <w:tblLayout w:type="fixed"/>
        <w:tblLook w:val="04A0" w:firstRow="1" w:lastRow="0" w:firstColumn="1" w:lastColumn="0" w:noHBand="0" w:noVBand="1"/>
      </w:tblPr>
      <w:tblGrid>
        <w:gridCol w:w="1982"/>
        <w:gridCol w:w="7930"/>
      </w:tblGrid>
      <w:tr w:rsidR="00B83176" w:rsidRPr="00B83176" w14:paraId="03CA5CA0" w14:textId="77777777" w:rsidTr="00ED72E6">
        <w:trPr>
          <w:trHeight w:val="360"/>
        </w:trPr>
        <w:tc>
          <w:tcPr>
            <w:tcW w:w="1000" w:type="pct"/>
            <w:vAlign w:val="center"/>
          </w:tcPr>
          <w:p w14:paraId="576D9FB0" w14:textId="77777777" w:rsidR="00B83176" w:rsidRPr="00B83176" w:rsidRDefault="00B83176" w:rsidP="00B83176">
            <w:pPr>
              <w:spacing w:line="259" w:lineRule="auto"/>
              <w:jc w:val="center"/>
              <w:rPr>
                <w:b/>
                <w:sz w:val="20"/>
                <w:lang w:val="uk-UA"/>
              </w:rPr>
            </w:pPr>
            <w:r w:rsidRPr="00B83176">
              <w:rPr>
                <w:b/>
                <w:sz w:val="20"/>
                <w:lang w:val="uk-UA"/>
              </w:rPr>
              <w:t>Дата проведення</w:t>
            </w:r>
          </w:p>
        </w:tc>
        <w:tc>
          <w:tcPr>
            <w:tcW w:w="4000" w:type="pct"/>
            <w:vAlign w:val="center"/>
          </w:tcPr>
          <w:p w14:paraId="23941A86" w14:textId="77777777" w:rsidR="00B83176" w:rsidRPr="00B83176" w:rsidRDefault="00B83176" w:rsidP="00B83176">
            <w:pPr>
              <w:spacing w:line="259" w:lineRule="auto"/>
              <w:jc w:val="center"/>
              <w:rPr>
                <w:sz w:val="20"/>
                <w:lang w:val="uk-UA"/>
              </w:rPr>
            </w:pPr>
            <w:r w:rsidRPr="00B83176">
              <w:rPr>
                <w:sz w:val="20"/>
                <w:lang w:val="uk-UA"/>
              </w:rPr>
              <w:t>09.05.2025</w:t>
            </w:r>
          </w:p>
        </w:tc>
      </w:tr>
      <w:tr w:rsidR="00B83176" w:rsidRPr="00B83176" w14:paraId="6DA40350" w14:textId="77777777" w:rsidTr="00ED72E6">
        <w:trPr>
          <w:trHeight w:val="360"/>
        </w:trPr>
        <w:tc>
          <w:tcPr>
            <w:tcW w:w="1000" w:type="pct"/>
            <w:vAlign w:val="center"/>
          </w:tcPr>
          <w:p w14:paraId="055026B8" w14:textId="77777777" w:rsidR="00B83176" w:rsidRPr="00B83176" w:rsidRDefault="00B83176" w:rsidP="00B83176">
            <w:pPr>
              <w:spacing w:line="259" w:lineRule="auto"/>
              <w:jc w:val="center"/>
              <w:rPr>
                <w:b/>
                <w:sz w:val="20"/>
                <w:lang w:val="uk-UA"/>
              </w:rPr>
            </w:pPr>
            <w:r w:rsidRPr="00B83176">
              <w:rPr>
                <w:b/>
                <w:sz w:val="20"/>
                <w:lang w:val="uk-UA"/>
              </w:rPr>
              <w:t>Спосіб проведення</w:t>
            </w:r>
          </w:p>
        </w:tc>
        <w:tc>
          <w:tcPr>
            <w:tcW w:w="4000" w:type="pct"/>
            <w:vAlign w:val="center"/>
          </w:tcPr>
          <w:p w14:paraId="6EEA03FC" w14:textId="77777777" w:rsidR="00B83176" w:rsidRPr="00B83176" w:rsidRDefault="00B83176" w:rsidP="00B83176">
            <w:pPr>
              <w:spacing w:line="259" w:lineRule="auto"/>
              <w:rPr>
                <w:sz w:val="20"/>
                <w:lang w:val="uk-UA"/>
              </w:rPr>
            </w:pPr>
            <w:r w:rsidRPr="00B83176">
              <w:rPr>
                <w:sz w:val="20"/>
                <w:lang w:val="uk-UA"/>
              </w:rPr>
              <w:tab/>
              <w:t>очне голосування</w:t>
            </w:r>
          </w:p>
          <w:p w14:paraId="22A7BBA8" w14:textId="77777777" w:rsidR="00B83176" w:rsidRPr="00B83176" w:rsidRDefault="00B83176" w:rsidP="00B83176">
            <w:pPr>
              <w:spacing w:line="259" w:lineRule="auto"/>
              <w:rPr>
                <w:sz w:val="20"/>
                <w:lang w:val="uk-UA"/>
              </w:rPr>
            </w:pPr>
            <w:r w:rsidRPr="00B83176">
              <w:rPr>
                <w:sz w:val="20"/>
                <w:lang w:val="uk-UA"/>
              </w:rPr>
              <w:t>-------------------------------------------------------------------------------------------------------------------</w:t>
            </w:r>
          </w:p>
          <w:p w14:paraId="17D6DF18" w14:textId="77777777" w:rsidR="00B83176" w:rsidRPr="00B83176" w:rsidRDefault="00B83176" w:rsidP="00B83176">
            <w:pPr>
              <w:spacing w:line="259" w:lineRule="auto"/>
              <w:rPr>
                <w:sz w:val="20"/>
                <w:lang w:val="uk-UA"/>
              </w:rPr>
            </w:pPr>
            <w:r w:rsidRPr="00B83176">
              <w:rPr>
                <w:sz w:val="20"/>
                <w:lang w:val="uk-UA"/>
              </w:rPr>
              <w:tab/>
              <w:t>електронне голосування</w:t>
            </w:r>
          </w:p>
          <w:p w14:paraId="29396500" w14:textId="77777777" w:rsidR="00B83176" w:rsidRPr="00B83176" w:rsidRDefault="00B83176" w:rsidP="00B83176">
            <w:pPr>
              <w:spacing w:line="259" w:lineRule="auto"/>
              <w:rPr>
                <w:sz w:val="20"/>
                <w:lang w:val="uk-UA"/>
              </w:rPr>
            </w:pPr>
            <w:r w:rsidRPr="00B83176">
              <w:rPr>
                <w:sz w:val="20"/>
                <w:lang w:val="uk-UA"/>
              </w:rPr>
              <w:t>-------------------------------------------------------------------------------------------------------------------</w:t>
            </w:r>
          </w:p>
          <w:p w14:paraId="19E47D34" w14:textId="77777777" w:rsidR="00B83176" w:rsidRPr="00B83176" w:rsidRDefault="00B83176" w:rsidP="00B83176">
            <w:pPr>
              <w:spacing w:line="259" w:lineRule="auto"/>
              <w:rPr>
                <w:sz w:val="20"/>
                <w:lang w:val="uk-UA"/>
              </w:rPr>
            </w:pPr>
            <w:r w:rsidRPr="00B83176">
              <w:rPr>
                <w:sz w:val="20"/>
                <w:lang w:val="uk-UA"/>
              </w:rPr>
              <w:t>X</w:t>
            </w:r>
            <w:r w:rsidRPr="00B83176">
              <w:rPr>
                <w:sz w:val="20"/>
                <w:lang w:val="uk-UA"/>
              </w:rPr>
              <w:tab/>
              <w:t>опитування (дистанційно)</w:t>
            </w:r>
          </w:p>
        </w:tc>
      </w:tr>
      <w:tr w:rsidR="00B83176" w:rsidRPr="00B83176" w14:paraId="6FCFEBF0" w14:textId="77777777" w:rsidTr="00ED72E6">
        <w:trPr>
          <w:trHeight w:val="360"/>
        </w:trPr>
        <w:tc>
          <w:tcPr>
            <w:tcW w:w="1000" w:type="pct"/>
            <w:vAlign w:val="center"/>
          </w:tcPr>
          <w:p w14:paraId="48200295" w14:textId="77777777" w:rsidR="00B83176" w:rsidRPr="00B83176" w:rsidRDefault="00B83176" w:rsidP="00B83176">
            <w:pPr>
              <w:spacing w:line="259" w:lineRule="auto"/>
              <w:jc w:val="center"/>
              <w:rPr>
                <w:b/>
                <w:sz w:val="20"/>
                <w:lang w:val="uk-UA"/>
              </w:rPr>
            </w:pPr>
            <w:r w:rsidRPr="00B83176">
              <w:rPr>
                <w:b/>
                <w:sz w:val="20"/>
                <w:lang w:val="uk-UA"/>
              </w:rPr>
              <w:t>Суб'єкт скликання</w:t>
            </w:r>
          </w:p>
        </w:tc>
        <w:tc>
          <w:tcPr>
            <w:tcW w:w="4000" w:type="pct"/>
            <w:vAlign w:val="center"/>
          </w:tcPr>
          <w:p w14:paraId="0F0FE4F9" w14:textId="77777777" w:rsidR="00B83176" w:rsidRPr="00B83176" w:rsidRDefault="00B83176" w:rsidP="00B83176">
            <w:pPr>
              <w:spacing w:line="259" w:lineRule="auto"/>
              <w:jc w:val="center"/>
              <w:rPr>
                <w:sz w:val="20"/>
                <w:lang w:val="uk-UA"/>
              </w:rPr>
            </w:pPr>
            <w:r w:rsidRPr="00B83176">
              <w:rPr>
                <w:sz w:val="20"/>
                <w:lang w:val="uk-UA"/>
              </w:rPr>
              <w:t>Наглядова Рада</w:t>
            </w:r>
          </w:p>
        </w:tc>
      </w:tr>
      <w:tr w:rsidR="00B83176" w:rsidRPr="00B83176" w14:paraId="5C31FB68" w14:textId="77777777" w:rsidTr="00ED72E6">
        <w:trPr>
          <w:trHeight w:val="360"/>
        </w:trPr>
        <w:tc>
          <w:tcPr>
            <w:tcW w:w="5000" w:type="pct"/>
            <w:gridSpan w:val="2"/>
            <w:vAlign w:val="center"/>
          </w:tcPr>
          <w:p w14:paraId="169B3AF8" w14:textId="77777777" w:rsidR="00B83176" w:rsidRPr="00B83176" w:rsidRDefault="00B83176" w:rsidP="00B83176">
            <w:pPr>
              <w:spacing w:line="259" w:lineRule="auto"/>
              <w:rPr>
                <w:sz w:val="20"/>
                <w:lang w:val="uk-UA"/>
              </w:rPr>
            </w:pPr>
            <w:r w:rsidRPr="00B83176">
              <w:rPr>
                <w:b/>
                <w:sz w:val="20"/>
                <w:lang w:val="uk-UA"/>
              </w:rPr>
              <w:t>Питання порядку денного та прийняті рішення :</w:t>
            </w:r>
          </w:p>
        </w:tc>
      </w:tr>
      <w:tr w:rsidR="00B83176" w:rsidRPr="00B83176" w14:paraId="7B331FF1" w14:textId="77777777" w:rsidTr="00ED72E6">
        <w:trPr>
          <w:trHeight w:val="360"/>
        </w:trPr>
        <w:tc>
          <w:tcPr>
            <w:tcW w:w="5000" w:type="pct"/>
            <w:gridSpan w:val="2"/>
          </w:tcPr>
          <w:p w14:paraId="0486B148" w14:textId="77777777" w:rsidR="00B83176" w:rsidRPr="00B83176" w:rsidRDefault="00B83176" w:rsidP="00B83176">
            <w:pPr>
              <w:spacing w:line="259" w:lineRule="auto"/>
              <w:rPr>
                <w:sz w:val="20"/>
                <w:lang w:val="uk-UA"/>
              </w:rPr>
            </w:pPr>
            <w:r w:rsidRPr="00B83176">
              <w:rPr>
                <w:sz w:val="20"/>
                <w:lang w:val="uk-UA"/>
              </w:rPr>
              <w:t>Порядок денний:</w:t>
            </w:r>
          </w:p>
          <w:p w14:paraId="3E4BCB3B" w14:textId="77777777" w:rsidR="00B83176" w:rsidRPr="00B83176" w:rsidRDefault="00B83176" w:rsidP="00B83176">
            <w:pPr>
              <w:spacing w:line="259" w:lineRule="auto"/>
              <w:rPr>
                <w:sz w:val="20"/>
                <w:lang w:val="uk-UA"/>
              </w:rPr>
            </w:pPr>
            <w:r w:rsidRPr="00B83176">
              <w:rPr>
                <w:sz w:val="20"/>
                <w:lang w:val="uk-UA"/>
              </w:rPr>
              <w:t>1. Розгляд звіту Наглядової ради Товариство за 2024р. та прийняття рішення за результатами його розгляду.</w:t>
            </w:r>
          </w:p>
          <w:p w14:paraId="7CC0797C" w14:textId="77777777" w:rsidR="00B83176" w:rsidRPr="00B83176" w:rsidRDefault="00B83176" w:rsidP="00B83176">
            <w:pPr>
              <w:spacing w:line="259" w:lineRule="auto"/>
              <w:rPr>
                <w:sz w:val="20"/>
                <w:lang w:val="uk-UA"/>
              </w:rPr>
            </w:pPr>
            <w:r w:rsidRPr="00B83176">
              <w:rPr>
                <w:sz w:val="20"/>
                <w:lang w:val="uk-UA"/>
              </w:rPr>
              <w:t xml:space="preserve">2. Затвердження  результатів фінансово-господарської діяльності Товариства за 2024р. </w:t>
            </w:r>
          </w:p>
          <w:p w14:paraId="7F018F31" w14:textId="77777777" w:rsidR="00B83176" w:rsidRPr="00B83176" w:rsidRDefault="00B83176" w:rsidP="00B83176">
            <w:pPr>
              <w:spacing w:line="259" w:lineRule="auto"/>
              <w:rPr>
                <w:sz w:val="20"/>
                <w:lang w:val="uk-UA"/>
              </w:rPr>
            </w:pPr>
            <w:r w:rsidRPr="00B83176">
              <w:rPr>
                <w:sz w:val="20"/>
                <w:lang w:val="uk-UA"/>
              </w:rPr>
              <w:lastRenderedPageBreak/>
              <w:t>3. Затвердження порядку покриття збитків.</w:t>
            </w:r>
          </w:p>
          <w:p w14:paraId="79DF4275" w14:textId="77777777" w:rsidR="00B83176" w:rsidRPr="00B83176" w:rsidRDefault="00B83176" w:rsidP="00B83176">
            <w:pPr>
              <w:spacing w:line="259" w:lineRule="auto"/>
              <w:rPr>
                <w:sz w:val="20"/>
                <w:lang w:val="uk-UA"/>
              </w:rPr>
            </w:pPr>
          </w:p>
          <w:p w14:paraId="050585DB" w14:textId="77777777" w:rsidR="00B83176" w:rsidRPr="00B83176" w:rsidRDefault="00B83176" w:rsidP="00B83176">
            <w:pPr>
              <w:spacing w:line="259" w:lineRule="auto"/>
              <w:rPr>
                <w:sz w:val="20"/>
                <w:lang w:val="uk-UA"/>
              </w:rPr>
            </w:pPr>
            <w:r w:rsidRPr="00B83176">
              <w:rPr>
                <w:sz w:val="20"/>
                <w:lang w:val="uk-UA"/>
              </w:rPr>
              <w:t>Підсумки голосування та рішення, прийняті Загальними зборами</w:t>
            </w:r>
          </w:p>
          <w:p w14:paraId="3FECE612" w14:textId="77777777" w:rsidR="00B83176" w:rsidRPr="00B83176" w:rsidRDefault="00B83176" w:rsidP="00B83176">
            <w:pPr>
              <w:spacing w:line="259" w:lineRule="auto"/>
              <w:rPr>
                <w:sz w:val="20"/>
                <w:lang w:val="uk-UA"/>
              </w:rPr>
            </w:pPr>
          </w:p>
          <w:p w14:paraId="7E430D43" w14:textId="77777777" w:rsidR="00B83176" w:rsidRPr="00B83176" w:rsidRDefault="00B83176" w:rsidP="00B83176">
            <w:pPr>
              <w:spacing w:line="259" w:lineRule="auto"/>
              <w:rPr>
                <w:sz w:val="20"/>
                <w:lang w:val="uk-UA"/>
              </w:rPr>
            </w:pPr>
            <w:r w:rsidRPr="00B83176">
              <w:rPr>
                <w:sz w:val="20"/>
                <w:lang w:val="uk-UA"/>
              </w:rPr>
              <w:t xml:space="preserve">Перше питання порядку денного. </w:t>
            </w:r>
          </w:p>
          <w:p w14:paraId="6D60C38A" w14:textId="77777777" w:rsidR="00B83176" w:rsidRPr="00B83176" w:rsidRDefault="00B83176" w:rsidP="00B83176">
            <w:pPr>
              <w:spacing w:line="259" w:lineRule="auto"/>
              <w:rPr>
                <w:sz w:val="20"/>
                <w:lang w:val="uk-UA"/>
              </w:rPr>
            </w:pPr>
            <w:r w:rsidRPr="00B83176">
              <w:rPr>
                <w:sz w:val="20"/>
                <w:lang w:val="uk-UA"/>
              </w:rPr>
              <w:t>Вирішили: Визнати роботу Наглядової ради Товариства у 2024 році задовільною. Оскільки робота Наглядової ради визнана задовільною, заходи за результатами його розгляду не затверджувати.</w:t>
            </w:r>
          </w:p>
          <w:p w14:paraId="343A7D3E" w14:textId="77777777" w:rsidR="00B83176" w:rsidRPr="00B83176" w:rsidRDefault="00B83176" w:rsidP="00B83176">
            <w:pPr>
              <w:spacing w:line="259" w:lineRule="auto"/>
              <w:rPr>
                <w:sz w:val="20"/>
                <w:lang w:val="uk-UA"/>
              </w:rPr>
            </w:pPr>
          </w:p>
          <w:p w14:paraId="42E393F5" w14:textId="77777777" w:rsidR="00B83176" w:rsidRPr="00B83176" w:rsidRDefault="00B83176" w:rsidP="00B83176">
            <w:pPr>
              <w:spacing w:line="259" w:lineRule="auto"/>
              <w:rPr>
                <w:sz w:val="20"/>
                <w:lang w:val="uk-UA"/>
              </w:rPr>
            </w:pPr>
            <w:r w:rsidRPr="00B83176">
              <w:rPr>
                <w:sz w:val="20"/>
                <w:lang w:val="uk-UA"/>
              </w:rPr>
              <w:t xml:space="preserve">Друге питання порядку денного. Вирішили: </w:t>
            </w:r>
          </w:p>
          <w:p w14:paraId="2FAFEF14" w14:textId="77777777" w:rsidR="00B83176" w:rsidRPr="00B83176" w:rsidRDefault="00B83176" w:rsidP="00B83176">
            <w:pPr>
              <w:spacing w:line="259" w:lineRule="auto"/>
              <w:rPr>
                <w:sz w:val="20"/>
                <w:lang w:val="uk-UA"/>
              </w:rPr>
            </w:pPr>
            <w:r w:rsidRPr="00B83176">
              <w:rPr>
                <w:sz w:val="20"/>
                <w:lang w:val="uk-UA"/>
              </w:rPr>
              <w:t>Затвердити результати фінансово-господарської діяльності Товариства за 2024р. та річну фінансову звітність Товариства за 2024 рік.</w:t>
            </w:r>
          </w:p>
          <w:p w14:paraId="0B739A46" w14:textId="77777777" w:rsidR="00B83176" w:rsidRPr="00B83176" w:rsidRDefault="00B83176" w:rsidP="00B83176">
            <w:pPr>
              <w:spacing w:line="259" w:lineRule="auto"/>
              <w:rPr>
                <w:sz w:val="20"/>
                <w:lang w:val="uk-UA"/>
              </w:rPr>
            </w:pPr>
          </w:p>
          <w:p w14:paraId="6CF23842" w14:textId="77777777" w:rsidR="00B83176" w:rsidRPr="00B83176" w:rsidRDefault="00B83176" w:rsidP="00B83176">
            <w:pPr>
              <w:spacing w:line="259" w:lineRule="auto"/>
              <w:rPr>
                <w:sz w:val="20"/>
                <w:lang w:val="uk-UA"/>
              </w:rPr>
            </w:pPr>
            <w:r w:rsidRPr="00B83176">
              <w:rPr>
                <w:sz w:val="20"/>
                <w:lang w:val="uk-UA"/>
              </w:rPr>
              <w:t xml:space="preserve">Третє питання порядку денного. Вирішили: </w:t>
            </w:r>
          </w:p>
          <w:p w14:paraId="23652B19" w14:textId="77777777" w:rsidR="00B83176" w:rsidRPr="00B83176" w:rsidRDefault="00B83176" w:rsidP="00B83176">
            <w:pPr>
              <w:spacing w:line="259" w:lineRule="auto"/>
              <w:rPr>
                <w:sz w:val="20"/>
                <w:lang w:val="uk-UA"/>
              </w:rPr>
            </w:pPr>
            <w:r w:rsidRPr="00B83176">
              <w:rPr>
                <w:sz w:val="20"/>
                <w:lang w:val="uk-UA"/>
              </w:rPr>
              <w:t>Збиток, отриманий Товариством у 2024р., у розмірі 843 954,06 (вісімсот сорок три тисячі дев'ятсот п'ятдесят чотири гривні шість копійок) грн. покривати за рахунок прибутку майбутніх періодів.</w:t>
            </w:r>
          </w:p>
        </w:tc>
      </w:tr>
      <w:tr w:rsidR="00B83176" w:rsidRPr="00B83176" w14:paraId="5E64544F" w14:textId="77777777" w:rsidTr="00ED72E6">
        <w:trPr>
          <w:trHeight w:val="360"/>
        </w:trPr>
        <w:tc>
          <w:tcPr>
            <w:tcW w:w="5000" w:type="pct"/>
            <w:gridSpan w:val="2"/>
          </w:tcPr>
          <w:p w14:paraId="735D53CA" w14:textId="77777777" w:rsidR="00B83176" w:rsidRPr="00B83176" w:rsidRDefault="00B83176" w:rsidP="00B83176">
            <w:pPr>
              <w:spacing w:line="259" w:lineRule="auto"/>
              <w:rPr>
                <w:sz w:val="20"/>
                <w:lang w:val="uk-UA"/>
              </w:rPr>
            </w:pPr>
            <w:r w:rsidRPr="00B83176">
              <w:rPr>
                <w:b/>
                <w:sz w:val="20"/>
                <w:lang w:val="uk-UA"/>
              </w:rPr>
              <w:lastRenderedPageBreak/>
              <w:t xml:space="preserve">URL-адреса протоколу загальних зборів:  </w:t>
            </w:r>
            <w:r w:rsidRPr="00B83176">
              <w:rPr>
                <w:sz w:val="20"/>
                <w:lang w:val="uk-UA"/>
              </w:rPr>
              <w:t>http://rutabus.emitents.net.ua/ua/mess</w:t>
            </w:r>
          </w:p>
        </w:tc>
      </w:tr>
    </w:tbl>
    <w:p w14:paraId="4A033224" w14:textId="77777777" w:rsidR="00B83176" w:rsidRPr="00B83176" w:rsidRDefault="00B83176" w:rsidP="00B83176">
      <w:pPr>
        <w:spacing w:after="0" w:line="259" w:lineRule="auto"/>
        <w:rPr>
          <w:rFonts w:eastAsia="Calibri" w:cs="Times New Roman"/>
          <w:kern w:val="0"/>
          <w:sz w:val="20"/>
          <w:lang w:val="uk-UA"/>
          <w14:ligatures w14:val="none"/>
        </w:rPr>
      </w:pPr>
    </w:p>
    <w:p w14:paraId="77A767F1" w14:textId="77777777" w:rsidR="00B83176" w:rsidRPr="00B83176" w:rsidRDefault="00B83176" w:rsidP="00B83176">
      <w:pPr>
        <w:spacing w:after="0" w:line="259" w:lineRule="auto"/>
        <w:rPr>
          <w:rFonts w:eastAsia="Calibri" w:cs="Times New Roman"/>
          <w:kern w:val="0"/>
          <w:sz w:val="20"/>
          <w:lang w:val="uk-UA"/>
          <w14:ligatures w14:val="none"/>
        </w:rPr>
      </w:pPr>
    </w:p>
    <w:p w14:paraId="6C4B72B9" w14:textId="77777777" w:rsidR="00B83176" w:rsidRPr="00B83176" w:rsidRDefault="00B83176" w:rsidP="00B83176">
      <w:pPr>
        <w:spacing w:after="0" w:line="259" w:lineRule="auto"/>
        <w:rPr>
          <w:rFonts w:eastAsia="Calibri" w:cs="Times New Roman"/>
          <w:kern w:val="0"/>
          <w:sz w:val="20"/>
          <w:lang w:val="uk-UA"/>
          <w14:ligatures w14:val="none"/>
        </w:rPr>
      </w:pPr>
    </w:p>
    <w:p w14:paraId="40DE7B84" w14:textId="77777777" w:rsidR="00B83176" w:rsidRDefault="00B83176" w:rsidP="006C0B77">
      <w:pPr>
        <w:spacing w:after="0"/>
        <w:ind w:firstLine="709"/>
        <w:jc w:val="both"/>
        <w:sectPr w:rsidR="00B83176" w:rsidSect="00B83176">
          <w:pgSz w:w="11906" w:h="16838"/>
          <w:pgMar w:top="363" w:right="567" w:bottom="363" w:left="1417" w:header="709" w:footer="709" w:gutter="0"/>
          <w:cols w:space="708"/>
          <w:docGrid w:linePitch="381"/>
        </w:sectPr>
      </w:pPr>
    </w:p>
    <w:p w14:paraId="32354E05" w14:textId="77777777" w:rsidR="00B83176" w:rsidRPr="00B83176" w:rsidRDefault="00B83176" w:rsidP="00B83176">
      <w:pPr>
        <w:keepNext/>
        <w:keepLines/>
        <w:widowControl w:val="0"/>
        <w:tabs>
          <w:tab w:val="right" w:pos="7710"/>
        </w:tabs>
        <w:suppressAutoHyphens/>
        <w:autoSpaceDE w:val="0"/>
        <w:autoSpaceDN w:val="0"/>
        <w:adjustRightInd w:val="0"/>
        <w:spacing w:before="113" w:after="57" w:line="257" w:lineRule="auto"/>
        <w:jc w:val="center"/>
        <w:textAlignment w:val="center"/>
        <w:rPr>
          <w:rFonts w:eastAsia="Times New Roman" w:cs="Times New Roman"/>
          <w:b/>
          <w:bCs/>
          <w:color w:val="000000"/>
          <w:kern w:val="0"/>
          <w:sz w:val="24"/>
          <w:szCs w:val="24"/>
          <w:lang w:val="uk-UA" w:eastAsia="uk-UA"/>
          <w14:ligatures w14:val="none"/>
        </w:rPr>
      </w:pPr>
      <w:r w:rsidRPr="00B83176">
        <w:rPr>
          <w:rFonts w:eastAsia="Times New Roman" w:cs="Times New Roman"/>
          <w:b/>
          <w:bCs/>
          <w:color w:val="000000"/>
          <w:kern w:val="0"/>
          <w:sz w:val="24"/>
          <w:szCs w:val="24"/>
          <w:lang w:val="uk-UA" w:eastAsia="uk-UA"/>
          <w14:ligatures w14:val="none"/>
        </w:rPr>
        <w:lastRenderedPageBreak/>
        <w:t>Частина 4. Рада</w:t>
      </w:r>
    </w:p>
    <w:p w14:paraId="41FEF234" w14:textId="77777777" w:rsidR="00B83176" w:rsidRPr="00B83176" w:rsidRDefault="00B83176" w:rsidP="00B83176">
      <w:pPr>
        <w:keepNext/>
        <w:widowControl w:val="0"/>
        <w:tabs>
          <w:tab w:val="right" w:pos="7710"/>
        </w:tabs>
        <w:suppressAutoHyphens/>
        <w:autoSpaceDE w:val="0"/>
        <w:autoSpaceDN w:val="0"/>
        <w:adjustRightInd w:val="0"/>
        <w:spacing w:before="113" w:after="0" w:line="257" w:lineRule="auto"/>
        <w:ind w:firstLine="283"/>
        <w:jc w:val="right"/>
        <w:textAlignment w:val="center"/>
        <w:rPr>
          <w:rFonts w:eastAsia="Times New Roman" w:cs="Times New Roman"/>
          <w:i/>
          <w:iCs/>
          <w:color w:val="000000"/>
          <w:kern w:val="0"/>
          <w:sz w:val="24"/>
          <w:szCs w:val="24"/>
          <w:lang w:val="uk-UA" w:eastAsia="uk-UA"/>
          <w14:ligatures w14:val="none"/>
        </w:rPr>
      </w:pPr>
      <w:r w:rsidRPr="00B83176">
        <w:rPr>
          <w:rFonts w:eastAsia="Times New Roman" w:cs="Times New Roman"/>
          <w:i/>
          <w:iCs/>
          <w:color w:val="000000"/>
          <w:kern w:val="0"/>
          <w:sz w:val="24"/>
          <w:szCs w:val="24"/>
          <w:lang w:val="uk-UA" w:eastAsia="uk-UA"/>
          <w14:ligatures w14:val="none"/>
        </w:rPr>
        <w:t>Таблиця 1.</w:t>
      </w:r>
    </w:p>
    <w:p w14:paraId="6C9E8D4E" w14:textId="77777777" w:rsidR="00B83176" w:rsidRPr="00B83176" w:rsidRDefault="00B83176" w:rsidP="00B83176">
      <w:pPr>
        <w:widowControl w:val="0"/>
        <w:tabs>
          <w:tab w:val="right" w:pos="7710"/>
          <w:tab w:val="right" w:pos="11514"/>
        </w:tabs>
        <w:suppressAutoHyphens/>
        <w:autoSpaceDE w:val="0"/>
        <w:autoSpaceDN w:val="0"/>
        <w:adjustRightInd w:val="0"/>
        <w:spacing w:before="113" w:after="0" w:line="257" w:lineRule="auto"/>
        <w:ind w:firstLine="283"/>
        <w:jc w:val="center"/>
        <w:textAlignment w:val="center"/>
        <w:rPr>
          <w:rFonts w:eastAsia="Times New Roman" w:cs="Times New Roman"/>
          <w:b/>
          <w:color w:val="000000"/>
          <w:kern w:val="0"/>
          <w:sz w:val="24"/>
          <w:szCs w:val="24"/>
          <w:lang w:val="uk-UA" w:eastAsia="uk-UA"/>
          <w14:ligatures w14:val="none"/>
        </w:rPr>
      </w:pPr>
      <w:r w:rsidRPr="00B83176">
        <w:rPr>
          <w:rFonts w:eastAsia="Times New Roman" w:cs="Times New Roman"/>
          <w:b/>
          <w:color w:val="000000"/>
          <w:kern w:val="0"/>
          <w:sz w:val="24"/>
          <w:szCs w:val="24"/>
          <w:lang w:val="uk-UA" w:eastAsia="uk-UA"/>
          <w14:ligatures w14:val="none"/>
        </w:rPr>
        <w:t>Персональний склад ради та її комітетів</w:t>
      </w:r>
    </w:p>
    <w:tbl>
      <w:tblPr>
        <w:tblW w:w="5000" w:type="pct"/>
        <w:tblCellMar>
          <w:left w:w="0" w:type="dxa"/>
          <w:right w:w="0" w:type="dxa"/>
        </w:tblCellMar>
        <w:tblLook w:val="0000" w:firstRow="0" w:lastRow="0" w:firstColumn="0" w:lastColumn="0" w:noHBand="0" w:noVBand="0"/>
      </w:tblPr>
      <w:tblGrid>
        <w:gridCol w:w="5490"/>
        <w:gridCol w:w="1391"/>
        <w:gridCol w:w="1813"/>
        <w:gridCol w:w="1430"/>
        <w:gridCol w:w="1942"/>
        <w:gridCol w:w="2026"/>
        <w:gridCol w:w="2010"/>
      </w:tblGrid>
      <w:tr w:rsidR="00B83176" w:rsidRPr="00B83176" w14:paraId="2A875CD0" w14:textId="77777777" w:rsidTr="00ED72E6">
        <w:trPr>
          <w:trHeight w:val="213"/>
        </w:trPr>
        <w:tc>
          <w:tcPr>
            <w:tcW w:w="1705"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199FD011"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0"/>
                <w:lang w:val="uk-UA" w:eastAsia="uk-UA"/>
                <w14:ligatures w14:val="none"/>
              </w:rPr>
            </w:pPr>
            <w:r w:rsidRPr="00B83176">
              <w:rPr>
                <w:rFonts w:eastAsia="Times New Roman" w:cs="Times New Roman"/>
                <w:b/>
                <w:color w:val="000000"/>
                <w:kern w:val="0"/>
                <w:sz w:val="20"/>
                <w:szCs w:val="20"/>
                <w:lang w:val="uk-UA" w:eastAsia="uk-UA"/>
                <w14:ligatures w14:val="none"/>
              </w:rPr>
              <w:t>Ім’я члена ради, строк повноважень у звітному періоді</w:t>
            </w:r>
          </w:p>
        </w:tc>
        <w:tc>
          <w:tcPr>
            <w:tcW w:w="432"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2FDD0DA"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0"/>
                <w:lang w:val="uk-UA" w:eastAsia="uk-UA"/>
                <w14:ligatures w14:val="none"/>
              </w:rPr>
            </w:pPr>
            <w:r w:rsidRPr="00B83176">
              <w:rPr>
                <w:rFonts w:eastAsia="Times New Roman" w:cs="Times New Roman"/>
                <w:b/>
                <w:color w:val="000000"/>
                <w:kern w:val="0"/>
                <w:sz w:val="20"/>
                <w:szCs w:val="20"/>
                <w:lang w:val="uk-UA" w:eastAsia="uk-UA"/>
                <w14:ligatures w14:val="none"/>
              </w:rPr>
              <w:t>РНОКП</w:t>
            </w:r>
          </w:p>
        </w:tc>
        <w:tc>
          <w:tcPr>
            <w:tcW w:w="563"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E420944"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0"/>
                <w:lang w:val="uk-UA" w:eastAsia="uk-UA"/>
                <w14:ligatures w14:val="none"/>
              </w:rPr>
            </w:pPr>
            <w:r w:rsidRPr="00B83176">
              <w:rPr>
                <w:rFonts w:eastAsia="Times New Roman" w:cs="Times New Roman"/>
                <w:b/>
                <w:color w:val="000000"/>
                <w:kern w:val="0"/>
                <w:sz w:val="20"/>
                <w:szCs w:val="20"/>
                <w:lang w:val="uk-UA" w:eastAsia="uk-UA"/>
                <w14:ligatures w14:val="none"/>
              </w:rPr>
              <w:t>УНЗР</w:t>
            </w:r>
          </w:p>
        </w:tc>
        <w:tc>
          <w:tcPr>
            <w:tcW w:w="444"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466A803F"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0"/>
                <w:lang w:val="uk-UA" w:eastAsia="uk-UA"/>
                <w14:ligatures w14:val="none"/>
              </w:rPr>
            </w:pPr>
            <w:r w:rsidRPr="00B83176">
              <w:rPr>
                <w:rFonts w:eastAsia="Times New Roman" w:cs="Times New Roman"/>
                <w:b/>
                <w:color w:val="000000"/>
                <w:kern w:val="0"/>
                <w:sz w:val="20"/>
                <w:szCs w:val="20"/>
                <w:lang w:val="uk-UA" w:eastAsia="uk-UA"/>
                <w14:ligatures w14:val="none"/>
              </w:rPr>
              <w:t>Голова/ заступник голови ради</w:t>
            </w:r>
          </w:p>
        </w:tc>
        <w:tc>
          <w:tcPr>
            <w:tcW w:w="1856" w:type="pct"/>
            <w:gridSpan w:val="3"/>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EC6C52D"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0"/>
                <w:lang w:val="uk-UA" w:eastAsia="uk-UA"/>
                <w14:ligatures w14:val="none"/>
              </w:rPr>
            </w:pPr>
            <w:r w:rsidRPr="00B83176">
              <w:rPr>
                <w:rFonts w:eastAsia="Times New Roman" w:cs="Times New Roman"/>
                <w:b/>
                <w:color w:val="000000"/>
                <w:kern w:val="0"/>
                <w:sz w:val="20"/>
                <w:szCs w:val="20"/>
                <w:lang w:val="uk-UA" w:eastAsia="uk-UA"/>
                <w14:ligatures w14:val="none"/>
              </w:rPr>
              <w:t>Голова / член комітету ради</w:t>
            </w:r>
          </w:p>
        </w:tc>
      </w:tr>
      <w:tr w:rsidR="00B83176" w:rsidRPr="00B83176" w14:paraId="72237DD5" w14:textId="77777777" w:rsidTr="00ED72E6">
        <w:trPr>
          <w:trHeight w:val="60"/>
        </w:trPr>
        <w:tc>
          <w:tcPr>
            <w:tcW w:w="1705" w:type="pct"/>
            <w:vMerge/>
            <w:tcBorders>
              <w:top w:val="single" w:sz="4" w:space="0" w:color="000000"/>
              <w:left w:val="single" w:sz="4" w:space="0" w:color="000000"/>
              <w:bottom w:val="single" w:sz="4" w:space="0" w:color="000000"/>
              <w:right w:val="single" w:sz="4" w:space="0" w:color="000000"/>
            </w:tcBorders>
          </w:tcPr>
          <w:p w14:paraId="26006F01" w14:textId="77777777" w:rsidR="00B83176" w:rsidRPr="00B83176" w:rsidRDefault="00B83176" w:rsidP="00B83176">
            <w:pPr>
              <w:widowControl w:val="0"/>
              <w:suppressAutoHyphens/>
              <w:autoSpaceDE w:val="0"/>
              <w:autoSpaceDN w:val="0"/>
              <w:adjustRightInd w:val="0"/>
              <w:spacing w:after="0"/>
              <w:rPr>
                <w:rFonts w:eastAsia="Times New Roman" w:cs="Times New Roman"/>
                <w:b/>
                <w:kern w:val="0"/>
                <w:sz w:val="20"/>
                <w:szCs w:val="20"/>
                <w:lang w:val="uk-UA" w:eastAsia="uk-UA"/>
                <w14:ligatures w14:val="none"/>
              </w:rPr>
            </w:pPr>
          </w:p>
        </w:tc>
        <w:tc>
          <w:tcPr>
            <w:tcW w:w="432" w:type="pct"/>
            <w:vMerge/>
            <w:tcBorders>
              <w:top w:val="single" w:sz="4" w:space="0" w:color="000000"/>
              <w:left w:val="single" w:sz="4" w:space="0" w:color="000000"/>
              <w:bottom w:val="single" w:sz="4" w:space="0" w:color="000000"/>
              <w:right w:val="single" w:sz="4" w:space="0" w:color="000000"/>
            </w:tcBorders>
          </w:tcPr>
          <w:p w14:paraId="79AF523A" w14:textId="77777777" w:rsidR="00B83176" w:rsidRPr="00B83176" w:rsidRDefault="00B83176" w:rsidP="00B83176">
            <w:pPr>
              <w:widowControl w:val="0"/>
              <w:suppressAutoHyphens/>
              <w:autoSpaceDE w:val="0"/>
              <w:autoSpaceDN w:val="0"/>
              <w:adjustRightInd w:val="0"/>
              <w:spacing w:after="0"/>
              <w:rPr>
                <w:rFonts w:eastAsia="Times New Roman" w:cs="Times New Roman"/>
                <w:b/>
                <w:kern w:val="0"/>
                <w:sz w:val="20"/>
                <w:szCs w:val="20"/>
                <w:lang w:val="uk-UA" w:eastAsia="uk-UA"/>
                <w14:ligatures w14:val="none"/>
              </w:rPr>
            </w:pPr>
          </w:p>
        </w:tc>
        <w:tc>
          <w:tcPr>
            <w:tcW w:w="563" w:type="pct"/>
            <w:vMerge/>
            <w:tcBorders>
              <w:top w:val="single" w:sz="4" w:space="0" w:color="000000"/>
              <w:left w:val="single" w:sz="4" w:space="0" w:color="000000"/>
              <w:bottom w:val="single" w:sz="4" w:space="0" w:color="000000"/>
              <w:right w:val="single" w:sz="4" w:space="0" w:color="000000"/>
            </w:tcBorders>
          </w:tcPr>
          <w:p w14:paraId="55F2653E" w14:textId="77777777" w:rsidR="00B83176" w:rsidRPr="00B83176" w:rsidRDefault="00B83176" w:rsidP="00B83176">
            <w:pPr>
              <w:widowControl w:val="0"/>
              <w:suppressAutoHyphens/>
              <w:autoSpaceDE w:val="0"/>
              <w:autoSpaceDN w:val="0"/>
              <w:adjustRightInd w:val="0"/>
              <w:spacing w:after="0"/>
              <w:rPr>
                <w:rFonts w:eastAsia="Times New Roman" w:cs="Times New Roman"/>
                <w:b/>
                <w:kern w:val="0"/>
                <w:sz w:val="20"/>
                <w:szCs w:val="20"/>
                <w:lang w:val="uk-UA" w:eastAsia="uk-UA"/>
                <w14:ligatures w14:val="none"/>
              </w:rPr>
            </w:pPr>
          </w:p>
        </w:tc>
        <w:tc>
          <w:tcPr>
            <w:tcW w:w="444" w:type="pct"/>
            <w:vMerge/>
            <w:tcBorders>
              <w:top w:val="single" w:sz="4" w:space="0" w:color="000000"/>
              <w:left w:val="single" w:sz="4" w:space="0" w:color="000000"/>
              <w:bottom w:val="single" w:sz="4" w:space="0" w:color="000000"/>
              <w:right w:val="single" w:sz="4" w:space="0" w:color="000000"/>
            </w:tcBorders>
          </w:tcPr>
          <w:p w14:paraId="4F22E433" w14:textId="77777777" w:rsidR="00B83176" w:rsidRPr="00B83176" w:rsidRDefault="00B83176" w:rsidP="00B83176">
            <w:pPr>
              <w:widowControl w:val="0"/>
              <w:suppressAutoHyphens/>
              <w:autoSpaceDE w:val="0"/>
              <w:autoSpaceDN w:val="0"/>
              <w:adjustRightInd w:val="0"/>
              <w:spacing w:after="0"/>
              <w:rPr>
                <w:rFonts w:eastAsia="Times New Roman" w:cs="Times New Roman"/>
                <w:b/>
                <w:kern w:val="0"/>
                <w:sz w:val="20"/>
                <w:szCs w:val="20"/>
                <w:lang w:val="uk-UA" w:eastAsia="uk-UA"/>
                <w14:ligatures w14:val="none"/>
              </w:rPr>
            </w:pPr>
          </w:p>
        </w:tc>
        <w:tc>
          <w:tcPr>
            <w:tcW w:w="603"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89948DB"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0"/>
                <w:lang w:val="uk-UA" w:eastAsia="uk-UA"/>
                <w14:ligatures w14:val="none"/>
              </w:rPr>
            </w:pPr>
            <w:r w:rsidRPr="00B83176">
              <w:rPr>
                <w:rFonts w:eastAsia="Times New Roman" w:cs="Times New Roman"/>
                <w:b/>
                <w:color w:val="000000"/>
                <w:kern w:val="0"/>
                <w:sz w:val="20"/>
                <w:szCs w:val="20"/>
                <w:lang w:val="uk-UA" w:eastAsia="uk-UA"/>
                <w14:ligatures w14:val="none"/>
              </w:rPr>
              <w:t>Комітет 1</w:t>
            </w:r>
          </w:p>
        </w:tc>
        <w:tc>
          <w:tcPr>
            <w:tcW w:w="62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B8CA23E"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0"/>
                <w:lang w:val="en-US" w:eastAsia="uk-UA"/>
                <w14:ligatures w14:val="none"/>
              </w:rPr>
            </w:pPr>
            <w:r w:rsidRPr="00B83176">
              <w:rPr>
                <w:rFonts w:eastAsia="Times New Roman" w:cs="Times New Roman"/>
                <w:b/>
                <w:color w:val="000000"/>
                <w:kern w:val="0"/>
                <w:sz w:val="20"/>
                <w:szCs w:val="20"/>
                <w:lang w:val="uk-UA" w:eastAsia="uk-UA"/>
                <w14:ligatures w14:val="none"/>
              </w:rPr>
              <w:t>Комітет 2</w:t>
            </w:r>
          </w:p>
        </w:tc>
        <w:tc>
          <w:tcPr>
            <w:tcW w:w="624"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D391690"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0"/>
                <w:lang w:val="en-US" w:eastAsia="uk-UA"/>
                <w14:ligatures w14:val="none"/>
              </w:rPr>
            </w:pPr>
            <w:r w:rsidRPr="00B83176">
              <w:rPr>
                <w:rFonts w:eastAsia="Times New Roman" w:cs="Times New Roman"/>
                <w:b/>
                <w:color w:val="000000"/>
                <w:kern w:val="0"/>
                <w:sz w:val="20"/>
                <w:szCs w:val="20"/>
                <w:lang w:val="uk-UA" w:eastAsia="uk-UA"/>
                <w14:ligatures w14:val="none"/>
              </w:rPr>
              <w:t>Комітет 3</w:t>
            </w:r>
          </w:p>
        </w:tc>
      </w:tr>
      <w:tr w:rsidR="00B83176" w:rsidRPr="00B83176" w14:paraId="57EF098C" w14:textId="77777777" w:rsidTr="00ED72E6">
        <w:trPr>
          <w:trHeight w:val="60"/>
        </w:trPr>
        <w:tc>
          <w:tcPr>
            <w:tcW w:w="1705" w:type="pct"/>
            <w:tcBorders>
              <w:top w:val="single" w:sz="4" w:space="0" w:color="000000"/>
              <w:left w:val="single" w:sz="4" w:space="0" w:color="000000"/>
              <w:bottom w:val="single" w:sz="4" w:space="0" w:color="000000"/>
              <w:right w:val="single" w:sz="4" w:space="0" w:color="000000"/>
            </w:tcBorders>
            <w:tcMar>
              <w:left w:w="57" w:type="dxa"/>
            </w:tcMar>
          </w:tcPr>
          <w:p w14:paraId="569F4751" w14:textId="77777777" w:rsidR="00B83176" w:rsidRPr="00B83176" w:rsidRDefault="00B83176" w:rsidP="00B83176">
            <w:pPr>
              <w:widowControl w:val="0"/>
              <w:suppressAutoHyphens/>
              <w:autoSpaceDE w:val="0"/>
              <w:autoSpaceDN w:val="0"/>
              <w:adjustRightInd w:val="0"/>
              <w:spacing w:after="0"/>
              <w:rPr>
                <w:rFonts w:eastAsia="Times New Roman" w:cs="Times New Roman"/>
                <w:b/>
                <w:kern w:val="0"/>
                <w:sz w:val="20"/>
                <w:szCs w:val="20"/>
                <w:lang w:val="en-US" w:eastAsia="uk-UA"/>
                <w14:ligatures w14:val="none"/>
              </w:rPr>
            </w:pPr>
            <w:r w:rsidRPr="00B83176">
              <w:rPr>
                <w:rFonts w:eastAsia="Times New Roman" w:cs="Times New Roman"/>
                <w:b/>
                <w:kern w:val="0"/>
                <w:sz w:val="20"/>
                <w:szCs w:val="20"/>
                <w:lang w:val="en-US" w:eastAsia="uk-UA"/>
                <w14:ligatures w14:val="none"/>
              </w:rPr>
              <w:t xml:space="preserve">                                                  1</w:t>
            </w:r>
          </w:p>
        </w:tc>
        <w:tc>
          <w:tcPr>
            <w:tcW w:w="432" w:type="pct"/>
            <w:tcBorders>
              <w:top w:val="single" w:sz="4" w:space="0" w:color="000000"/>
              <w:left w:val="single" w:sz="4" w:space="0" w:color="000000"/>
              <w:bottom w:val="single" w:sz="4" w:space="0" w:color="000000"/>
              <w:right w:val="single" w:sz="4" w:space="0" w:color="000000"/>
            </w:tcBorders>
          </w:tcPr>
          <w:p w14:paraId="377FE0D8" w14:textId="77777777" w:rsidR="00B83176" w:rsidRPr="00B83176" w:rsidRDefault="00B83176" w:rsidP="00B83176">
            <w:pPr>
              <w:widowControl w:val="0"/>
              <w:suppressAutoHyphens/>
              <w:autoSpaceDE w:val="0"/>
              <w:autoSpaceDN w:val="0"/>
              <w:adjustRightInd w:val="0"/>
              <w:spacing w:after="0"/>
              <w:jc w:val="center"/>
              <w:rPr>
                <w:rFonts w:eastAsia="Times New Roman" w:cs="Times New Roman"/>
                <w:b/>
                <w:kern w:val="0"/>
                <w:sz w:val="20"/>
                <w:szCs w:val="20"/>
                <w:lang w:val="en-US" w:eastAsia="uk-UA"/>
                <w14:ligatures w14:val="none"/>
              </w:rPr>
            </w:pPr>
            <w:r w:rsidRPr="00B83176">
              <w:rPr>
                <w:rFonts w:eastAsia="Times New Roman" w:cs="Times New Roman"/>
                <w:b/>
                <w:kern w:val="0"/>
                <w:sz w:val="20"/>
                <w:szCs w:val="20"/>
                <w:lang w:val="en-US" w:eastAsia="uk-UA"/>
                <w14:ligatures w14:val="none"/>
              </w:rPr>
              <w:t>2</w:t>
            </w:r>
          </w:p>
        </w:tc>
        <w:tc>
          <w:tcPr>
            <w:tcW w:w="563" w:type="pct"/>
            <w:tcBorders>
              <w:top w:val="single" w:sz="4" w:space="0" w:color="000000"/>
              <w:left w:val="single" w:sz="4" w:space="0" w:color="000000"/>
              <w:bottom w:val="single" w:sz="4" w:space="0" w:color="000000"/>
              <w:right w:val="single" w:sz="4" w:space="0" w:color="000000"/>
            </w:tcBorders>
          </w:tcPr>
          <w:p w14:paraId="3FE17FF5" w14:textId="77777777" w:rsidR="00B83176" w:rsidRPr="00B83176" w:rsidRDefault="00B83176" w:rsidP="00B83176">
            <w:pPr>
              <w:widowControl w:val="0"/>
              <w:suppressAutoHyphens/>
              <w:autoSpaceDE w:val="0"/>
              <w:autoSpaceDN w:val="0"/>
              <w:adjustRightInd w:val="0"/>
              <w:spacing w:after="0"/>
              <w:jc w:val="center"/>
              <w:rPr>
                <w:rFonts w:eastAsia="Times New Roman" w:cs="Times New Roman"/>
                <w:b/>
                <w:kern w:val="0"/>
                <w:sz w:val="20"/>
                <w:szCs w:val="20"/>
                <w:lang w:val="en-US" w:eastAsia="uk-UA"/>
                <w14:ligatures w14:val="none"/>
              </w:rPr>
            </w:pPr>
            <w:r w:rsidRPr="00B83176">
              <w:rPr>
                <w:rFonts w:eastAsia="Times New Roman" w:cs="Times New Roman"/>
                <w:b/>
                <w:kern w:val="0"/>
                <w:sz w:val="20"/>
                <w:szCs w:val="20"/>
                <w:lang w:val="en-US" w:eastAsia="uk-UA"/>
                <w14:ligatures w14:val="none"/>
              </w:rPr>
              <w:t>3</w:t>
            </w:r>
          </w:p>
        </w:tc>
        <w:tc>
          <w:tcPr>
            <w:tcW w:w="444" w:type="pct"/>
            <w:tcBorders>
              <w:top w:val="single" w:sz="4" w:space="0" w:color="000000"/>
              <w:left w:val="single" w:sz="4" w:space="0" w:color="000000"/>
              <w:bottom w:val="single" w:sz="4" w:space="0" w:color="000000"/>
              <w:right w:val="single" w:sz="4" w:space="0" w:color="000000"/>
            </w:tcBorders>
          </w:tcPr>
          <w:p w14:paraId="48F6AA67" w14:textId="77777777" w:rsidR="00B83176" w:rsidRPr="00B83176" w:rsidRDefault="00B83176" w:rsidP="00B83176">
            <w:pPr>
              <w:widowControl w:val="0"/>
              <w:suppressAutoHyphens/>
              <w:autoSpaceDE w:val="0"/>
              <w:autoSpaceDN w:val="0"/>
              <w:adjustRightInd w:val="0"/>
              <w:spacing w:after="0"/>
              <w:jc w:val="center"/>
              <w:rPr>
                <w:rFonts w:eastAsia="Times New Roman" w:cs="Times New Roman"/>
                <w:b/>
                <w:kern w:val="0"/>
                <w:sz w:val="20"/>
                <w:szCs w:val="20"/>
                <w:lang w:val="en-US" w:eastAsia="uk-UA"/>
                <w14:ligatures w14:val="none"/>
              </w:rPr>
            </w:pPr>
            <w:r w:rsidRPr="00B83176">
              <w:rPr>
                <w:rFonts w:eastAsia="Times New Roman" w:cs="Times New Roman"/>
                <w:b/>
                <w:kern w:val="0"/>
                <w:sz w:val="20"/>
                <w:szCs w:val="20"/>
                <w:lang w:val="en-US" w:eastAsia="uk-UA"/>
                <w14:ligatures w14:val="none"/>
              </w:rPr>
              <w:t>4</w:t>
            </w:r>
          </w:p>
        </w:tc>
        <w:tc>
          <w:tcPr>
            <w:tcW w:w="603"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9F40770"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0"/>
                <w:lang w:val="en-US" w:eastAsia="uk-UA"/>
                <w14:ligatures w14:val="none"/>
              </w:rPr>
            </w:pPr>
            <w:r w:rsidRPr="00B83176">
              <w:rPr>
                <w:rFonts w:eastAsia="Times New Roman" w:cs="Times New Roman"/>
                <w:b/>
                <w:color w:val="000000"/>
                <w:kern w:val="0"/>
                <w:sz w:val="20"/>
                <w:szCs w:val="20"/>
                <w:lang w:val="en-US" w:eastAsia="uk-UA"/>
                <w14:ligatures w14:val="none"/>
              </w:rPr>
              <w:t>5</w:t>
            </w:r>
          </w:p>
        </w:tc>
        <w:tc>
          <w:tcPr>
            <w:tcW w:w="62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1CE1B3E"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0"/>
                <w:lang w:val="en-US" w:eastAsia="uk-UA"/>
                <w14:ligatures w14:val="none"/>
              </w:rPr>
            </w:pPr>
            <w:r w:rsidRPr="00B83176">
              <w:rPr>
                <w:rFonts w:eastAsia="Times New Roman" w:cs="Times New Roman"/>
                <w:b/>
                <w:color w:val="000000"/>
                <w:kern w:val="0"/>
                <w:sz w:val="20"/>
                <w:szCs w:val="20"/>
                <w:lang w:val="en-US" w:eastAsia="uk-UA"/>
                <w14:ligatures w14:val="none"/>
              </w:rPr>
              <w:t>6</w:t>
            </w:r>
          </w:p>
        </w:tc>
        <w:tc>
          <w:tcPr>
            <w:tcW w:w="624"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AF80545"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0"/>
                <w:lang w:val="en-US" w:eastAsia="uk-UA"/>
                <w14:ligatures w14:val="none"/>
              </w:rPr>
            </w:pPr>
            <w:r w:rsidRPr="00B83176">
              <w:rPr>
                <w:rFonts w:eastAsia="Times New Roman" w:cs="Times New Roman"/>
                <w:b/>
                <w:color w:val="000000"/>
                <w:kern w:val="0"/>
                <w:sz w:val="20"/>
                <w:szCs w:val="20"/>
                <w:lang w:val="en-US" w:eastAsia="uk-UA"/>
                <w14:ligatures w14:val="none"/>
              </w:rPr>
              <w:t>7</w:t>
            </w:r>
          </w:p>
        </w:tc>
      </w:tr>
      <w:tr w:rsidR="00B83176" w:rsidRPr="00B83176" w14:paraId="5BA246B5" w14:textId="77777777" w:rsidTr="00ED72E6">
        <w:trPr>
          <w:trHeight w:val="60"/>
        </w:trPr>
        <w:tc>
          <w:tcPr>
            <w:tcW w:w="1705" w:type="pct"/>
            <w:tcBorders>
              <w:top w:val="single" w:sz="4" w:space="0" w:color="000000"/>
              <w:left w:val="single" w:sz="4" w:space="0" w:color="000000"/>
              <w:bottom w:val="single" w:sz="4" w:space="0" w:color="000000"/>
              <w:right w:val="single" w:sz="4" w:space="0" w:color="000000"/>
            </w:tcBorders>
            <w:tcMar>
              <w:left w:w="57" w:type="dxa"/>
            </w:tcMar>
          </w:tcPr>
          <w:p w14:paraId="084E25C4" w14:textId="77777777" w:rsidR="00B83176" w:rsidRPr="00B83176" w:rsidRDefault="00B83176" w:rsidP="00B83176">
            <w:pPr>
              <w:widowControl w:val="0"/>
              <w:suppressAutoHyphens/>
              <w:autoSpaceDE w:val="0"/>
              <w:autoSpaceDN w:val="0"/>
              <w:adjustRightInd w:val="0"/>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Полосухіна Ганна Костянтинівна з 01.01.2025 по 31.12.2025</w:t>
            </w:r>
          </w:p>
        </w:tc>
        <w:tc>
          <w:tcPr>
            <w:tcW w:w="432" w:type="pct"/>
            <w:tcBorders>
              <w:top w:val="single" w:sz="4" w:space="0" w:color="000000"/>
              <w:left w:val="single" w:sz="4" w:space="0" w:color="000000"/>
              <w:bottom w:val="single" w:sz="4" w:space="0" w:color="000000"/>
              <w:right w:val="single" w:sz="4" w:space="0" w:color="000000"/>
            </w:tcBorders>
          </w:tcPr>
          <w:p w14:paraId="390B84E1" w14:textId="77777777" w:rsidR="00B83176" w:rsidRPr="00B83176" w:rsidRDefault="00B83176" w:rsidP="00B83176">
            <w:pPr>
              <w:widowControl w:val="0"/>
              <w:suppressAutoHyphens/>
              <w:autoSpaceDE w:val="0"/>
              <w:autoSpaceDN w:val="0"/>
              <w:adjustRightInd w:val="0"/>
              <w:spacing w:after="0"/>
              <w:jc w:val="center"/>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3223601309</w:t>
            </w:r>
          </w:p>
        </w:tc>
        <w:tc>
          <w:tcPr>
            <w:tcW w:w="563" w:type="pct"/>
            <w:tcBorders>
              <w:top w:val="single" w:sz="4" w:space="0" w:color="000000"/>
              <w:left w:val="single" w:sz="4" w:space="0" w:color="000000"/>
              <w:bottom w:val="single" w:sz="4" w:space="0" w:color="000000"/>
              <w:right w:val="single" w:sz="4" w:space="0" w:color="000000"/>
            </w:tcBorders>
          </w:tcPr>
          <w:p w14:paraId="09F579D1" w14:textId="77777777" w:rsidR="00B83176" w:rsidRPr="00B83176" w:rsidRDefault="00B83176" w:rsidP="00B83176">
            <w:pPr>
              <w:widowControl w:val="0"/>
              <w:suppressAutoHyphens/>
              <w:autoSpaceDE w:val="0"/>
              <w:autoSpaceDN w:val="0"/>
              <w:adjustRightInd w:val="0"/>
              <w:spacing w:after="0"/>
              <w:jc w:val="center"/>
              <w:rPr>
                <w:rFonts w:eastAsia="Times New Roman" w:cs="Times New Roman"/>
                <w:kern w:val="0"/>
                <w:sz w:val="20"/>
                <w:szCs w:val="20"/>
                <w:lang w:val="en-US" w:eastAsia="uk-UA"/>
                <w14:ligatures w14:val="none"/>
              </w:rPr>
            </w:pPr>
          </w:p>
        </w:tc>
        <w:tc>
          <w:tcPr>
            <w:tcW w:w="444" w:type="pct"/>
            <w:tcBorders>
              <w:top w:val="single" w:sz="4" w:space="0" w:color="000000"/>
              <w:left w:val="single" w:sz="4" w:space="0" w:color="000000"/>
              <w:bottom w:val="single" w:sz="4" w:space="0" w:color="000000"/>
              <w:right w:val="single" w:sz="4" w:space="0" w:color="000000"/>
            </w:tcBorders>
          </w:tcPr>
          <w:p w14:paraId="294F04BE" w14:textId="77777777" w:rsidR="00B83176" w:rsidRPr="00B83176" w:rsidRDefault="00B83176" w:rsidP="00B83176">
            <w:pPr>
              <w:widowControl w:val="0"/>
              <w:suppressAutoHyphens/>
              <w:autoSpaceDE w:val="0"/>
              <w:autoSpaceDN w:val="0"/>
              <w:adjustRightInd w:val="0"/>
              <w:spacing w:after="0"/>
              <w:jc w:val="center"/>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X</w:t>
            </w:r>
          </w:p>
        </w:tc>
        <w:tc>
          <w:tcPr>
            <w:tcW w:w="603"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775C13E"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en-US" w:eastAsia="uk-UA"/>
                <w14:ligatures w14:val="none"/>
              </w:rPr>
            </w:pPr>
          </w:p>
        </w:tc>
        <w:tc>
          <w:tcPr>
            <w:tcW w:w="62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B8347A8"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en-US" w:eastAsia="uk-UA"/>
                <w14:ligatures w14:val="none"/>
              </w:rPr>
            </w:pPr>
          </w:p>
        </w:tc>
        <w:tc>
          <w:tcPr>
            <w:tcW w:w="624"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660D398"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en-US" w:eastAsia="uk-UA"/>
                <w14:ligatures w14:val="none"/>
              </w:rPr>
            </w:pPr>
          </w:p>
        </w:tc>
      </w:tr>
      <w:tr w:rsidR="00B83176" w:rsidRPr="00B83176" w14:paraId="6BFBD867" w14:textId="77777777" w:rsidTr="00ED72E6">
        <w:trPr>
          <w:trHeight w:val="60"/>
        </w:trPr>
        <w:tc>
          <w:tcPr>
            <w:tcW w:w="1705" w:type="pct"/>
            <w:tcBorders>
              <w:top w:val="single" w:sz="4" w:space="0" w:color="000000"/>
              <w:left w:val="single" w:sz="4" w:space="0" w:color="000000"/>
              <w:bottom w:val="single" w:sz="4" w:space="0" w:color="000000"/>
              <w:right w:val="single" w:sz="4" w:space="0" w:color="000000"/>
            </w:tcBorders>
            <w:tcMar>
              <w:left w:w="57" w:type="dxa"/>
            </w:tcMar>
          </w:tcPr>
          <w:p w14:paraId="7B7F7B72" w14:textId="77777777" w:rsidR="00B83176" w:rsidRPr="00B83176" w:rsidRDefault="00B83176" w:rsidP="00B83176">
            <w:pPr>
              <w:widowControl w:val="0"/>
              <w:suppressAutoHyphens/>
              <w:autoSpaceDE w:val="0"/>
              <w:autoSpaceDN w:val="0"/>
              <w:adjustRightInd w:val="0"/>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Полосухіна Олена Володимирівна з 01.01.2025 по 31.12.2025</w:t>
            </w:r>
          </w:p>
        </w:tc>
        <w:tc>
          <w:tcPr>
            <w:tcW w:w="432" w:type="pct"/>
            <w:tcBorders>
              <w:top w:val="single" w:sz="4" w:space="0" w:color="000000"/>
              <w:left w:val="single" w:sz="4" w:space="0" w:color="000000"/>
              <w:bottom w:val="single" w:sz="4" w:space="0" w:color="000000"/>
              <w:right w:val="single" w:sz="4" w:space="0" w:color="000000"/>
            </w:tcBorders>
          </w:tcPr>
          <w:p w14:paraId="64AFC19E" w14:textId="77777777" w:rsidR="00B83176" w:rsidRPr="00B83176" w:rsidRDefault="00B83176" w:rsidP="00B83176">
            <w:pPr>
              <w:widowControl w:val="0"/>
              <w:suppressAutoHyphens/>
              <w:autoSpaceDE w:val="0"/>
              <w:autoSpaceDN w:val="0"/>
              <w:adjustRightInd w:val="0"/>
              <w:spacing w:after="0"/>
              <w:jc w:val="center"/>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2854701109</w:t>
            </w:r>
          </w:p>
        </w:tc>
        <w:tc>
          <w:tcPr>
            <w:tcW w:w="563" w:type="pct"/>
            <w:tcBorders>
              <w:top w:val="single" w:sz="4" w:space="0" w:color="000000"/>
              <w:left w:val="single" w:sz="4" w:space="0" w:color="000000"/>
              <w:bottom w:val="single" w:sz="4" w:space="0" w:color="000000"/>
              <w:right w:val="single" w:sz="4" w:space="0" w:color="000000"/>
            </w:tcBorders>
          </w:tcPr>
          <w:p w14:paraId="45A3B851" w14:textId="77777777" w:rsidR="00B83176" w:rsidRPr="00B83176" w:rsidRDefault="00B83176" w:rsidP="00B83176">
            <w:pPr>
              <w:widowControl w:val="0"/>
              <w:suppressAutoHyphens/>
              <w:autoSpaceDE w:val="0"/>
              <w:autoSpaceDN w:val="0"/>
              <w:adjustRightInd w:val="0"/>
              <w:spacing w:after="0"/>
              <w:jc w:val="center"/>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19780227-04747</w:t>
            </w:r>
          </w:p>
        </w:tc>
        <w:tc>
          <w:tcPr>
            <w:tcW w:w="444" w:type="pct"/>
            <w:tcBorders>
              <w:top w:val="single" w:sz="4" w:space="0" w:color="000000"/>
              <w:left w:val="single" w:sz="4" w:space="0" w:color="000000"/>
              <w:bottom w:val="single" w:sz="4" w:space="0" w:color="000000"/>
              <w:right w:val="single" w:sz="4" w:space="0" w:color="000000"/>
            </w:tcBorders>
          </w:tcPr>
          <w:p w14:paraId="34E2E72C" w14:textId="77777777" w:rsidR="00B83176" w:rsidRPr="00B83176" w:rsidRDefault="00B83176" w:rsidP="00B83176">
            <w:pPr>
              <w:widowControl w:val="0"/>
              <w:suppressAutoHyphens/>
              <w:autoSpaceDE w:val="0"/>
              <w:autoSpaceDN w:val="0"/>
              <w:adjustRightInd w:val="0"/>
              <w:spacing w:after="0"/>
              <w:jc w:val="center"/>
              <w:rPr>
                <w:rFonts w:eastAsia="Times New Roman" w:cs="Times New Roman"/>
                <w:kern w:val="0"/>
                <w:sz w:val="20"/>
                <w:szCs w:val="20"/>
                <w:lang w:val="en-US" w:eastAsia="uk-UA"/>
                <w14:ligatures w14:val="none"/>
              </w:rPr>
            </w:pPr>
          </w:p>
        </w:tc>
        <w:tc>
          <w:tcPr>
            <w:tcW w:w="603"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FCB6476"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en-US" w:eastAsia="uk-UA"/>
                <w14:ligatures w14:val="none"/>
              </w:rPr>
            </w:pPr>
          </w:p>
        </w:tc>
        <w:tc>
          <w:tcPr>
            <w:tcW w:w="62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8DA0F22"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en-US" w:eastAsia="uk-UA"/>
                <w14:ligatures w14:val="none"/>
              </w:rPr>
            </w:pPr>
          </w:p>
        </w:tc>
        <w:tc>
          <w:tcPr>
            <w:tcW w:w="624"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0836664"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en-US" w:eastAsia="uk-UA"/>
                <w14:ligatures w14:val="none"/>
              </w:rPr>
            </w:pPr>
          </w:p>
        </w:tc>
      </w:tr>
      <w:tr w:rsidR="00B83176" w:rsidRPr="00B83176" w14:paraId="720B3D3B" w14:textId="77777777" w:rsidTr="00ED72E6">
        <w:trPr>
          <w:trHeight w:val="60"/>
        </w:trPr>
        <w:tc>
          <w:tcPr>
            <w:tcW w:w="1705" w:type="pct"/>
            <w:tcBorders>
              <w:top w:val="single" w:sz="4" w:space="0" w:color="000000"/>
              <w:left w:val="single" w:sz="4" w:space="0" w:color="000000"/>
              <w:bottom w:val="single" w:sz="4" w:space="0" w:color="000000"/>
              <w:right w:val="single" w:sz="4" w:space="0" w:color="000000"/>
            </w:tcBorders>
            <w:tcMar>
              <w:left w:w="57" w:type="dxa"/>
            </w:tcMar>
          </w:tcPr>
          <w:p w14:paraId="37A9CB99" w14:textId="77777777" w:rsidR="00B83176" w:rsidRPr="00B83176" w:rsidRDefault="00B83176" w:rsidP="00B83176">
            <w:pPr>
              <w:widowControl w:val="0"/>
              <w:suppressAutoHyphens/>
              <w:autoSpaceDE w:val="0"/>
              <w:autoSpaceDN w:val="0"/>
              <w:adjustRightInd w:val="0"/>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Полосухіна Марія Василівна з 01.01.2025 по 31.12.2025</w:t>
            </w:r>
          </w:p>
        </w:tc>
        <w:tc>
          <w:tcPr>
            <w:tcW w:w="432" w:type="pct"/>
            <w:tcBorders>
              <w:top w:val="single" w:sz="4" w:space="0" w:color="000000"/>
              <w:left w:val="single" w:sz="4" w:space="0" w:color="000000"/>
              <w:bottom w:val="single" w:sz="4" w:space="0" w:color="000000"/>
              <w:right w:val="single" w:sz="4" w:space="0" w:color="000000"/>
            </w:tcBorders>
          </w:tcPr>
          <w:p w14:paraId="07F480E1" w14:textId="77777777" w:rsidR="00B83176" w:rsidRPr="00B83176" w:rsidRDefault="00B83176" w:rsidP="00B83176">
            <w:pPr>
              <w:widowControl w:val="0"/>
              <w:suppressAutoHyphens/>
              <w:autoSpaceDE w:val="0"/>
              <w:autoSpaceDN w:val="0"/>
              <w:adjustRightInd w:val="0"/>
              <w:spacing w:after="0"/>
              <w:jc w:val="center"/>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1907107543</w:t>
            </w:r>
          </w:p>
        </w:tc>
        <w:tc>
          <w:tcPr>
            <w:tcW w:w="563" w:type="pct"/>
            <w:tcBorders>
              <w:top w:val="single" w:sz="4" w:space="0" w:color="000000"/>
              <w:left w:val="single" w:sz="4" w:space="0" w:color="000000"/>
              <w:bottom w:val="single" w:sz="4" w:space="0" w:color="000000"/>
              <w:right w:val="single" w:sz="4" w:space="0" w:color="000000"/>
            </w:tcBorders>
          </w:tcPr>
          <w:p w14:paraId="4A00F87A" w14:textId="77777777" w:rsidR="00B83176" w:rsidRPr="00B83176" w:rsidRDefault="00B83176" w:rsidP="00B83176">
            <w:pPr>
              <w:widowControl w:val="0"/>
              <w:suppressAutoHyphens/>
              <w:autoSpaceDE w:val="0"/>
              <w:autoSpaceDN w:val="0"/>
              <w:adjustRightInd w:val="0"/>
              <w:spacing w:after="0"/>
              <w:jc w:val="center"/>
              <w:rPr>
                <w:rFonts w:eastAsia="Times New Roman" w:cs="Times New Roman"/>
                <w:kern w:val="0"/>
                <w:sz w:val="20"/>
                <w:szCs w:val="20"/>
                <w:lang w:val="en-US" w:eastAsia="uk-UA"/>
                <w14:ligatures w14:val="none"/>
              </w:rPr>
            </w:pPr>
          </w:p>
        </w:tc>
        <w:tc>
          <w:tcPr>
            <w:tcW w:w="444" w:type="pct"/>
            <w:tcBorders>
              <w:top w:val="single" w:sz="4" w:space="0" w:color="000000"/>
              <w:left w:val="single" w:sz="4" w:space="0" w:color="000000"/>
              <w:bottom w:val="single" w:sz="4" w:space="0" w:color="000000"/>
              <w:right w:val="single" w:sz="4" w:space="0" w:color="000000"/>
            </w:tcBorders>
          </w:tcPr>
          <w:p w14:paraId="224937C4" w14:textId="77777777" w:rsidR="00B83176" w:rsidRPr="00B83176" w:rsidRDefault="00B83176" w:rsidP="00B83176">
            <w:pPr>
              <w:widowControl w:val="0"/>
              <w:suppressAutoHyphens/>
              <w:autoSpaceDE w:val="0"/>
              <w:autoSpaceDN w:val="0"/>
              <w:adjustRightInd w:val="0"/>
              <w:spacing w:after="0"/>
              <w:jc w:val="center"/>
              <w:rPr>
                <w:rFonts w:eastAsia="Times New Roman" w:cs="Times New Roman"/>
                <w:kern w:val="0"/>
                <w:sz w:val="20"/>
                <w:szCs w:val="20"/>
                <w:lang w:val="en-US" w:eastAsia="uk-UA"/>
                <w14:ligatures w14:val="none"/>
              </w:rPr>
            </w:pPr>
          </w:p>
        </w:tc>
        <w:tc>
          <w:tcPr>
            <w:tcW w:w="603"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DED0CB4"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en-US" w:eastAsia="uk-UA"/>
                <w14:ligatures w14:val="none"/>
              </w:rPr>
            </w:pPr>
          </w:p>
        </w:tc>
        <w:tc>
          <w:tcPr>
            <w:tcW w:w="62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A0D3F91"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en-US" w:eastAsia="uk-UA"/>
                <w14:ligatures w14:val="none"/>
              </w:rPr>
            </w:pPr>
          </w:p>
        </w:tc>
        <w:tc>
          <w:tcPr>
            <w:tcW w:w="624"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94C5FFD"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en-US" w:eastAsia="uk-UA"/>
                <w14:ligatures w14:val="none"/>
              </w:rPr>
            </w:pPr>
          </w:p>
        </w:tc>
      </w:tr>
    </w:tbl>
    <w:p w14:paraId="3438F5D9" w14:textId="77777777" w:rsidR="00B83176" w:rsidRPr="00B83176" w:rsidRDefault="00B83176" w:rsidP="00B83176">
      <w:pPr>
        <w:spacing w:line="259" w:lineRule="auto"/>
        <w:rPr>
          <w:rFonts w:ascii="Calibri" w:eastAsia="Times New Roman" w:hAnsi="Calibri" w:cs="Times New Roman"/>
          <w:kern w:val="0"/>
          <w:sz w:val="22"/>
          <w:lang w:val="uk-UA" w:eastAsia="uk-UA"/>
          <w14:ligatures w14:val="none"/>
        </w:rPr>
      </w:pPr>
    </w:p>
    <w:p w14:paraId="1E2FF406" w14:textId="77777777" w:rsidR="00B83176" w:rsidRDefault="00B83176" w:rsidP="006C0B77">
      <w:pPr>
        <w:spacing w:after="0"/>
        <w:ind w:firstLine="709"/>
        <w:jc w:val="both"/>
        <w:sectPr w:rsidR="00B83176" w:rsidSect="00B83176">
          <w:pgSz w:w="16838" w:h="11906" w:orient="landscape"/>
          <w:pgMar w:top="1417" w:right="363" w:bottom="850" w:left="363" w:header="709" w:footer="709" w:gutter="0"/>
          <w:cols w:space="708"/>
          <w:docGrid w:linePitch="381"/>
        </w:sectPr>
      </w:pPr>
    </w:p>
    <w:p w14:paraId="30B14407" w14:textId="77777777" w:rsidR="00B83176" w:rsidRPr="00B83176" w:rsidRDefault="00B83176" w:rsidP="00B83176">
      <w:pPr>
        <w:keepNext/>
        <w:widowControl w:val="0"/>
        <w:tabs>
          <w:tab w:val="right" w:pos="7710"/>
        </w:tabs>
        <w:suppressAutoHyphens/>
        <w:autoSpaceDE w:val="0"/>
        <w:autoSpaceDN w:val="0"/>
        <w:adjustRightInd w:val="0"/>
        <w:spacing w:before="113" w:after="0" w:line="257" w:lineRule="auto"/>
        <w:ind w:firstLine="283"/>
        <w:jc w:val="right"/>
        <w:textAlignment w:val="center"/>
        <w:rPr>
          <w:rFonts w:eastAsia="Times New Roman" w:cs="Times New Roman"/>
          <w:i/>
          <w:iCs/>
          <w:color w:val="000000"/>
          <w:kern w:val="0"/>
          <w:sz w:val="24"/>
          <w:szCs w:val="24"/>
          <w:lang w:val="uk-UA" w:eastAsia="uk-UA"/>
          <w14:ligatures w14:val="none"/>
        </w:rPr>
      </w:pPr>
      <w:r w:rsidRPr="00B83176">
        <w:rPr>
          <w:rFonts w:eastAsia="Times New Roman" w:cs="Times New Roman"/>
          <w:i/>
          <w:iCs/>
          <w:color w:val="000000"/>
          <w:kern w:val="0"/>
          <w:sz w:val="24"/>
          <w:szCs w:val="24"/>
          <w:lang w:val="uk-UA" w:eastAsia="uk-UA"/>
          <w14:ligatures w14:val="none"/>
        </w:rPr>
        <w:lastRenderedPageBreak/>
        <w:t>Таблиця 4.</w:t>
      </w:r>
    </w:p>
    <w:p w14:paraId="1B8B7CB7" w14:textId="77777777" w:rsidR="00B83176" w:rsidRPr="00B83176" w:rsidRDefault="00B83176" w:rsidP="00B83176">
      <w:pPr>
        <w:widowControl w:val="0"/>
        <w:tabs>
          <w:tab w:val="right" w:pos="7710"/>
          <w:tab w:val="right" w:pos="11514"/>
        </w:tabs>
        <w:suppressAutoHyphens/>
        <w:autoSpaceDE w:val="0"/>
        <w:autoSpaceDN w:val="0"/>
        <w:adjustRightInd w:val="0"/>
        <w:spacing w:before="113" w:after="0" w:line="257" w:lineRule="auto"/>
        <w:jc w:val="center"/>
        <w:textAlignment w:val="center"/>
        <w:rPr>
          <w:rFonts w:eastAsia="Times New Roman" w:cs="Times New Roman"/>
          <w:b/>
          <w:color w:val="000000"/>
          <w:kern w:val="0"/>
          <w:sz w:val="24"/>
          <w:szCs w:val="24"/>
          <w:lang w:val="uk-UA" w:eastAsia="uk-UA"/>
          <w14:ligatures w14:val="none"/>
        </w:rPr>
      </w:pPr>
      <w:r w:rsidRPr="00B83176">
        <w:rPr>
          <w:rFonts w:eastAsia="Times New Roman" w:cs="Times New Roman"/>
          <w:b/>
          <w:color w:val="000000"/>
          <w:kern w:val="0"/>
          <w:sz w:val="24"/>
          <w:szCs w:val="24"/>
          <w:lang w:val="uk-UA" w:eastAsia="uk-UA"/>
          <w14:ligatures w14:val="none"/>
        </w:rPr>
        <w:t>Інформація про одноосібний виконавчий орган та загальний опис прийнятих рішень</w:t>
      </w:r>
    </w:p>
    <w:tbl>
      <w:tblPr>
        <w:tblW w:w="5000" w:type="pct"/>
        <w:tblCellMar>
          <w:left w:w="0" w:type="dxa"/>
          <w:right w:w="0" w:type="dxa"/>
        </w:tblCellMar>
        <w:tblLook w:val="0000" w:firstRow="0" w:lastRow="0" w:firstColumn="0" w:lastColumn="0" w:noHBand="0" w:noVBand="0"/>
      </w:tblPr>
      <w:tblGrid>
        <w:gridCol w:w="4889"/>
        <w:gridCol w:w="5023"/>
      </w:tblGrid>
      <w:tr w:rsidR="00B83176" w:rsidRPr="00B83176" w14:paraId="2D3DBF38" w14:textId="77777777" w:rsidTr="00ED72E6">
        <w:trPr>
          <w:trHeight w:val="60"/>
        </w:trPr>
        <w:tc>
          <w:tcPr>
            <w:tcW w:w="246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13C267C" w14:textId="77777777" w:rsidR="00B83176" w:rsidRPr="00B83176" w:rsidRDefault="00B83176" w:rsidP="00B83176">
            <w:pPr>
              <w:widowControl w:val="0"/>
              <w:tabs>
                <w:tab w:val="right" w:pos="7767"/>
              </w:tabs>
              <w:suppressAutoHyphens/>
              <w:autoSpaceDE w:val="0"/>
              <w:autoSpaceDN w:val="0"/>
              <w:adjustRightInd w:val="0"/>
              <w:spacing w:after="0" w:line="252" w:lineRule="auto"/>
              <w:textAlignment w:val="center"/>
              <w:rPr>
                <w:rFonts w:eastAsia="Times New Roman" w:cs="Times New Roman"/>
                <w:b/>
                <w:color w:val="000000"/>
                <w:kern w:val="0"/>
                <w:sz w:val="20"/>
                <w:szCs w:val="24"/>
                <w:lang w:val="uk-UA" w:eastAsia="uk-UA"/>
                <w14:ligatures w14:val="none"/>
              </w:rPr>
            </w:pPr>
            <w:r w:rsidRPr="00B83176">
              <w:rPr>
                <w:rFonts w:eastAsia="Times New Roman" w:cs="Times New Roman"/>
                <w:b/>
                <w:color w:val="000000"/>
                <w:kern w:val="0"/>
                <w:sz w:val="20"/>
                <w:szCs w:val="24"/>
                <w:lang w:val="uk-UA" w:eastAsia="uk-UA"/>
                <w14:ligatures w14:val="none"/>
              </w:rPr>
              <w:t xml:space="preserve">Ім’я керівника, термін повноважень у звітному періоді </w:t>
            </w:r>
          </w:p>
        </w:tc>
        <w:tc>
          <w:tcPr>
            <w:tcW w:w="253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B9D511F" w14:textId="77777777" w:rsidR="00B83176" w:rsidRPr="00B83176" w:rsidRDefault="00B83176" w:rsidP="00B83176">
            <w:pPr>
              <w:spacing w:after="0" w:line="259" w:lineRule="auto"/>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Полосухін Олексій Володимирович</w:t>
            </w:r>
          </w:p>
        </w:tc>
      </w:tr>
      <w:tr w:rsidR="00B83176" w:rsidRPr="00B83176" w14:paraId="32B57EA7" w14:textId="77777777" w:rsidTr="00ED72E6">
        <w:trPr>
          <w:trHeight w:val="60"/>
        </w:trPr>
        <w:tc>
          <w:tcPr>
            <w:tcW w:w="246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4DDA096" w14:textId="77777777" w:rsidR="00B83176" w:rsidRPr="00B83176" w:rsidRDefault="00B83176" w:rsidP="00B83176">
            <w:pPr>
              <w:widowControl w:val="0"/>
              <w:tabs>
                <w:tab w:val="right" w:pos="7767"/>
              </w:tabs>
              <w:suppressAutoHyphens/>
              <w:autoSpaceDE w:val="0"/>
              <w:autoSpaceDN w:val="0"/>
              <w:adjustRightInd w:val="0"/>
              <w:spacing w:after="0" w:line="252" w:lineRule="auto"/>
              <w:textAlignment w:val="center"/>
              <w:rPr>
                <w:rFonts w:eastAsia="Times New Roman" w:cs="Times New Roman"/>
                <w:b/>
                <w:color w:val="000000"/>
                <w:kern w:val="0"/>
                <w:sz w:val="20"/>
                <w:szCs w:val="24"/>
                <w:lang w:val="uk-UA" w:eastAsia="uk-UA"/>
                <w14:ligatures w14:val="none"/>
              </w:rPr>
            </w:pPr>
            <w:r w:rsidRPr="00B83176">
              <w:rPr>
                <w:rFonts w:eastAsia="Times New Roman" w:cs="Times New Roman"/>
                <w:b/>
                <w:color w:val="000000"/>
                <w:kern w:val="0"/>
                <w:sz w:val="20"/>
                <w:szCs w:val="24"/>
                <w:lang w:val="uk-UA" w:eastAsia="uk-UA"/>
                <w14:ligatures w14:val="none"/>
              </w:rPr>
              <w:t>РНОКПП</w:t>
            </w:r>
          </w:p>
        </w:tc>
        <w:tc>
          <w:tcPr>
            <w:tcW w:w="253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5665AC8" w14:textId="77777777" w:rsidR="00B83176" w:rsidRPr="00B83176" w:rsidRDefault="00B83176" w:rsidP="00B83176">
            <w:pPr>
              <w:spacing w:after="0" w:line="259" w:lineRule="auto"/>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2802504655</w:t>
            </w:r>
          </w:p>
        </w:tc>
      </w:tr>
      <w:tr w:rsidR="00B83176" w:rsidRPr="00B83176" w14:paraId="4AA89A57" w14:textId="77777777" w:rsidTr="00ED72E6">
        <w:trPr>
          <w:trHeight w:val="60"/>
        </w:trPr>
        <w:tc>
          <w:tcPr>
            <w:tcW w:w="246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7C897E5" w14:textId="77777777" w:rsidR="00B83176" w:rsidRPr="00B83176" w:rsidRDefault="00B83176" w:rsidP="00B83176">
            <w:pPr>
              <w:widowControl w:val="0"/>
              <w:tabs>
                <w:tab w:val="right" w:pos="7767"/>
              </w:tabs>
              <w:suppressAutoHyphens/>
              <w:autoSpaceDE w:val="0"/>
              <w:autoSpaceDN w:val="0"/>
              <w:adjustRightInd w:val="0"/>
              <w:spacing w:after="0" w:line="252" w:lineRule="auto"/>
              <w:textAlignment w:val="center"/>
              <w:rPr>
                <w:rFonts w:eastAsia="Times New Roman" w:cs="Times New Roman"/>
                <w:b/>
                <w:color w:val="000000"/>
                <w:kern w:val="0"/>
                <w:sz w:val="20"/>
                <w:szCs w:val="24"/>
                <w:lang w:val="uk-UA" w:eastAsia="uk-UA"/>
                <w14:ligatures w14:val="none"/>
              </w:rPr>
            </w:pPr>
            <w:r w:rsidRPr="00B83176">
              <w:rPr>
                <w:rFonts w:eastAsia="Times New Roman" w:cs="Times New Roman"/>
                <w:b/>
                <w:color w:val="000000"/>
                <w:kern w:val="0"/>
                <w:sz w:val="20"/>
                <w:szCs w:val="24"/>
                <w:lang w:val="uk-UA" w:eastAsia="uk-UA"/>
                <w14:ligatures w14:val="none"/>
              </w:rPr>
              <w:t>УНЗР</w:t>
            </w:r>
          </w:p>
        </w:tc>
        <w:tc>
          <w:tcPr>
            <w:tcW w:w="253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578141D" w14:textId="77777777" w:rsidR="00B83176" w:rsidRPr="00B83176" w:rsidRDefault="00B83176" w:rsidP="00B83176">
            <w:pPr>
              <w:spacing w:after="0" w:line="259" w:lineRule="auto"/>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19760923-04117</w:t>
            </w:r>
          </w:p>
        </w:tc>
      </w:tr>
      <w:tr w:rsidR="00B83176" w:rsidRPr="00B83176" w14:paraId="2828ECCE" w14:textId="77777777" w:rsidTr="00ED72E6">
        <w:trPr>
          <w:trHeight w:val="60"/>
        </w:trPr>
        <w:tc>
          <w:tcPr>
            <w:tcW w:w="246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135D478" w14:textId="77777777" w:rsidR="00B83176" w:rsidRPr="00B83176" w:rsidRDefault="00B83176" w:rsidP="00B83176">
            <w:pPr>
              <w:widowControl w:val="0"/>
              <w:tabs>
                <w:tab w:val="right" w:pos="7767"/>
              </w:tabs>
              <w:suppressAutoHyphens/>
              <w:autoSpaceDE w:val="0"/>
              <w:autoSpaceDN w:val="0"/>
              <w:adjustRightInd w:val="0"/>
              <w:spacing w:after="0" w:line="252" w:lineRule="auto"/>
              <w:textAlignment w:val="center"/>
              <w:rPr>
                <w:rFonts w:eastAsia="Times New Roman" w:cs="Times New Roman"/>
                <w:b/>
                <w:color w:val="000000"/>
                <w:kern w:val="0"/>
                <w:sz w:val="20"/>
                <w:szCs w:val="24"/>
                <w:lang w:val="uk-UA" w:eastAsia="uk-UA"/>
                <w14:ligatures w14:val="none"/>
              </w:rPr>
            </w:pPr>
            <w:r w:rsidRPr="00B83176">
              <w:rPr>
                <w:rFonts w:eastAsia="Times New Roman" w:cs="Times New Roman"/>
                <w:b/>
                <w:color w:val="000000"/>
                <w:kern w:val="0"/>
                <w:sz w:val="20"/>
                <w:szCs w:val="24"/>
                <w:lang w:val="uk-UA" w:eastAsia="uk-UA"/>
                <w14:ligatures w14:val="none"/>
              </w:rPr>
              <w:t>Опис ключових рішень керівника</w:t>
            </w:r>
          </w:p>
        </w:tc>
        <w:tc>
          <w:tcPr>
            <w:tcW w:w="253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924E9C4" w14:textId="77777777" w:rsidR="00B83176" w:rsidRPr="00B83176" w:rsidRDefault="00B83176" w:rsidP="00B83176">
            <w:pPr>
              <w:spacing w:after="0" w:line="259" w:lineRule="auto"/>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д/в</w:t>
            </w:r>
          </w:p>
        </w:tc>
      </w:tr>
      <w:tr w:rsidR="00B83176" w:rsidRPr="00B83176" w14:paraId="1D3CE1C3" w14:textId="77777777" w:rsidTr="00ED72E6">
        <w:trPr>
          <w:trHeight w:val="60"/>
        </w:trPr>
        <w:tc>
          <w:tcPr>
            <w:tcW w:w="246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5116431" w14:textId="77777777" w:rsidR="00B83176" w:rsidRPr="00B83176" w:rsidRDefault="00B83176" w:rsidP="00B83176">
            <w:pPr>
              <w:widowControl w:val="0"/>
              <w:tabs>
                <w:tab w:val="right" w:pos="7767"/>
              </w:tabs>
              <w:suppressAutoHyphens/>
              <w:autoSpaceDE w:val="0"/>
              <w:autoSpaceDN w:val="0"/>
              <w:adjustRightInd w:val="0"/>
              <w:spacing w:after="0" w:line="252" w:lineRule="auto"/>
              <w:textAlignment w:val="center"/>
              <w:rPr>
                <w:rFonts w:eastAsia="Times New Roman" w:cs="Times New Roman"/>
                <w:b/>
                <w:color w:val="000000"/>
                <w:kern w:val="0"/>
                <w:sz w:val="20"/>
                <w:szCs w:val="24"/>
                <w:lang w:val="uk-UA" w:eastAsia="uk-UA"/>
                <w14:ligatures w14:val="none"/>
              </w:rPr>
            </w:pPr>
            <w:r w:rsidRPr="00B83176">
              <w:rPr>
                <w:rFonts w:eastAsia="Times New Roman" w:cs="Times New Roman"/>
                <w:b/>
                <w:color w:val="000000"/>
                <w:kern w:val="0"/>
                <w:sz w:val="20"/>
                <w:szCs w:val="24"/>
                <w:lang w:val="uk-UA" w:eastAsia="uk-UA"/>
                <w14:ligatures w14:val="none"/>
              </w:rPr>
              <w:t>Ім’я заступника(ів) керівника, термін повноважень у звітному періоді</w:t>
            </w:r>
          </w:p>
        </w:tc>
        <w:tc>
          <w:tcPr>
            <w:tcW w:w="253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73D7EF9" w14:textId="77777777" w:rsidR="00B83176" w:rsidRPr="00B83176" w:rsidRDefault="00B83176" w:rsidP="00B83176">
            <w:pPr>
              <w:spacing w:after="0" w:line="259" w:lineRule="auto"/>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немає</w:t>
            </w:r>
          </w:p>
        </w:tc>
      </w:tr>
      <w:tr w:rsidR="00B83176" w:rsidRPr="00B83176" w14:paraId="22E885C0" w14:textId="77777777" w:rsidTr="00ED72E6">
        <w:trPr>
          <w:trHeight w:val="60"/>
        </w:trPr>
        <w:tc>
          <w:tcPr>
            <w:tcW w:w="246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3ADBE5F" w14:textId="77777777" w:rsidR="00B83176" w:rsidRPr="00B83176" w:rsidRDefault="00B83176" w:rsidP="00B83176">
            <w:pPr>
              <w:widowControl w:val="0"/>
              <w:tabs>
                <w:tab w:val="right" w:pos="7767"/>
              </w:tabs>
              <w:suppressAutoHyphens/>
              <w:autoSpaceDE w:val="0"/>
              <w:autoSpaceDN w:val="0"/>
              <w:adjustRightInd w:val="0"/>
              <w:spacing w:after="0" w:line="252" w:lineRule="auto"/>
              <w:textAlignment w:val="center"/>
              <w:rPr>
                <w:rFonts w:eastAsia="Times New Roman" w:cs="Times New Roman"/>
                <w:b/>
                <w:color w:val="000000"/>
                <w:kern w:val="0"/>
                <w:sz w:val="20"/>
                <w:szCs w:val="24"/>
                <w:lang w:val="uk-UA" w:eastAsia="uk-UA"/>
                <w14:ligatures w14:val="none"/>
              </w:rPr>
            </w:pPr>
            <w:r w:rsidRPr="00B83176">
              <w:rPr>
                <w:rFonts w:eastAsia="Times New Roman" w:cs="Times New Roman"/>
                <w:b/>
                <w:color w:val="000000"/>
                <w:kern w:val="0"/>
                <w:sz w:val="20"/>
                <w:szCs w:val="24"/>
                <w:lang w:val="uk-UA" w:eastAsia="uk-UA"/>
                <w14:ligatures w14:val="none"/>
              </w:rPr>
              <w:t>РНОКПП</w:t>
            </w:r>
          </w:p>
        </w:tc>
        <w:tc>
          <w:tcPr>
            <w:tcW w:w="253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B6D15C1" w14:textId="77777777" w:rsidR="00B83176" w:rsidRPr="00B83176" w:rsidRDefault="00B83176" w:rsidP="00B83176">
            <w:pPr>
              <w:spacing w:after="0" w:line="259" w:lineRule="auto"/>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д/в</w:t>
            </w:r>
          </w:p>
        </w:tc>
      </w:tr>
      <w:tr w:rsidR="00B83176" w:rsidRPr="00B83176" w14:paraId="0853757D" w14:textId="77777777" w:rsidTr="00ED72E6">
        <w:trPr>
          <w:trHeight w:val="60"/>
        </w:trPr>
        <w:tc>
          <w:tcPr>
            <w:tcW w:w="246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D5FDB4F" w14:textId="77777777" w:rsidR="00B83176" w:rsidRPr="00B83176" w:rsidRDefault="00B83176" w:rsidP="00B83176">
            <w:pPr>
              <w:widowControl w:val="0"/>
              <w:tabs>
                <w:tab w:val="right" w:pos="7767"/>
              </w:tabs>
              <w:suppressAutoHyphens/>
              <w:autoSpaceDE w:val="0"/>
              <w:autoSpaceDN w:val="0"/>
              <w:adjustRightInd w:val="0"/>
              <w:spacing w:after="0" w:line="252" w:lineRule="auto"/>
              <w:textAlignment w:val="center"/>
              <w:rPr>
                <w:rFonts w:eastAsia="Times New Roman" w:cs="Times New Roman"/>
                <w:b/>
                <w:color w:val="000000"/>
                <w:kern w:val="0"/>
                <w:sz w:val="20"/>
                <w:szCs w:val="24"/>
                <w:lang w:val="uk-UA" w:eastAsia="uk-UA"/>
                <w14:ligatures w14:val="none"/>
              </w:rPr>
            </w:pPr>
            <w:r w:rsidRPr="00B83176">
              <w:rPr>
                <w:rFonts w:eastAsia="Times New Roman" w:cs="Times New Roman"/>
                <w:b/>
                <w:color w:val="000000"/>
                <w:kern w:val="0"/>
                <w:sz w:val="20"/>
                <w:szCs w:val="24"/>
                <w:lang w:val="uk-UA" w:eastAsia="uk-UA"/>
                <w14:ligatures w14:val="none"/>
              </w:rPr>
              <w:t>УНЗР</w:t>
            </w:r>
          </w:p>
        </w:tc>
        <w:tc>
          <w:tcPr>
            <w:tcW w:w="253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16D4741" w14:textId="77777777" w:rsidR="00B83176" w:rsidRPr="00B83176" w:rsidRDefault="00B83176" w:rsidP="00B83176">
            <w:pPr>
              <w:spacing w:after="0" w:line="259" w:lineRule="auto"/>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д/в</w:t>
            </w:r>
          </w:p>
        </w:tc>
      </w:tr>
      <w:tr w:rsidR="00B83176" w:rsidRPr="00B83176" w14:paraId="6E52C542" w14:textId="77777777" w:rsidTr="00ED72E6">
        <w:trPr>
          <w:trHeight w:val="60"/>
        </w:trPr>
        <w:tc>
          <w:tcPr>
            <w:tcW w:w="246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4CEED0B" w14:textId="77777777" w:rsidR="00B83176" w:rsidRPr="00B83176" w:rsidRDefault="00B83176" w:rsidP="00B83176">
            <w:pPr>
              <w:widowControl w:val="0"/>
              <w:tabs>
                <w:tab w:val="right" w:pos="7767"/>
              </w:tabs>
              <w:suppressAutoHyphens/>
              <w:autoSpaceDE w:val="0"/>
              <w:autoSpaceDN w:val="0"/>
              <w:adjustRightInd w:val="0"/>
              <w:spacing w:after="0" w:line="252" w:lineRule="auto"/>
              <w:textAlignment w:val="center"/>
              <w:rPr>
                <w:rFonts w:eastAsia="Times New Roman" w:cs="Times New Roman"/>
                <w:b/>
                <w:color w:val="000000"/>
                <w:kern w:val="0"/>
                <w:sz w:val="20"/>
                <w:szCs w:val="24"/>
                <w:lang w:val="uk-UA" w:eastAsia="uk-UA"/>
                <w14:ligatures w14:val="none"/>
              </w:rPr>
            </w:pPr>
            <w:r w:rsidRPr="00B83176">
              <w:rPr>
                <w:rFonts w:eastAsia="Times New Roman" w:cs="Times New Roman"/>
                <w:b/>
                <w:color w:val="000000"/>
                <w:kern w:val="0"/>
                <w:sz w:val="20"/>
                <w:szCs w:val="24"/>
                <w:lang w:val="uk-UA" w:eastAsia="uk-UA"/>
                <w14:ligatures w14:val="none"/>
              </w:rPr>
              <w:t>Сфера відповідальності заступника керівника</w:t>
            </w:r>
          </w:p>
        </w:tc>
        <w:tc>
          <w:tcPr>
            <w:tcW w:w="253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1686E0E" w14:textId="77777777" w:rsidR="00B83176" w:rsidRPr="00B83176" w:rsidRDefault="00B83176" w:rsidP="00B83176">
            <w:pPr>
              <w:spacing w:after="0" w:line="259" w:lineRule="auto"/>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д/в</w:t>
            </w:r>
          </w:p>
        </w:tc>
      </w:tr>
      <w:tr w:rsidR="00B83176" w:rsidRPr="00B83176" w14:paraId="393C8F87" w14:textId="77777777" w:rsidTr="00ED72E6">
        <w:trPr>
          <w:trHeight w:val="60"/>
        </w:trPr>
        <w:tc>
          <w:tcPr>
            <w:tcW w:w="246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8665B53" w14:textId="77777777" w:rsidR="00B83176" w:rsidRPr="00B83176" w:rsidRDefault="00B83176" w:rsidP="00B83176">
            <w:pPr>
              <w:widowControl w:val="0"/>
              <w:tabs>
                <w:tab w:val="right" w:pos="7767"/>
              </w:tabs>
              <w:suppressAutoHyphens/>
              <w:autoSpaceDE w:val="0"/>
              <w:autoSpaceDN w:val="0"/>
              <w:adjustRightInd w:val="0"/>
              <w:spacing w:after="0" w:line="252" w:lineRule="auto"/>
              <w:textAlignment w:val="center"/>
              <w:rPr>
                <w:rFonts w:eastAsia="Times New Roman" w:cs="Times New Roman"/>
                <w:b/>
                <w:color w:val="000000"/>
                <w:kern w:val="0"/>
                <w:sz w:val="20"/>
                <w:szCs w:val="24"/>
                <w:lang w:val="uk-UA" w:eastAsia="uk-UA"/>
                <w14:ligatures w14:val="none"/>
              </w:rPr>
            </w:pPr>
            <w:r w:rsidRPr="00B83176">
              <w:rPr>
                <w:rFonts w:eastAsia="Times New Roman" w:cs="Times New Roman"/>
                <w:b/>
                <w:color w:val="000000"/>
                <w:kern w:val="0"/>
                <w:sz w:val="20"/>
                <w:szCs w:val="24"/>
                <w:lang w:val="uk-UA" w:eastAsia="uk-UA"/>
                <w14:ligatures w14:val="none"/>
              </w:rPr>
              <w:t xml:space="preserve">Ім’я та посада особи, яка виконувала обов’язки керівника у звітному періоді, період протягом якого особа здійснювала виконання обов’язків керівника </w:t>
            </w:r>
          </w:p>
        </w:tc>
        <w:tc>
          <w:tcPr>
            <w:tcW w:w="253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9CA8427" w14:textId="77777777" w:rsidR="00B83176" w:rsidRPr="00B83176" w:rsidRDefault="00B83176" w:rsidP="00B83176">
            <w:pPr>
              <w:spacing w:after="0" w:line="259" w:lineRule="auto"/>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д/в</w:t>
            </w:r>
          </w:p>
        </w:tc>
      </w:tr>
      <w:tr w:rsidR="00B83176" w:rsidRPr="00B83176" w14:paraId="64460CCF" w14:textId="77777777" w:rsidTr="00ED72E6">
        <w:trPr>
          <w:trHeight w:val="60"/>
        </w:trPr>
        <w:tc>
          <w:tcPr>
            <w:tcW w:w="246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35B1332" w14:textId="77777777" w:rsidR="00B83176" w:rsidRPr="00B83176" w:rsidRDefault="00B83176" w:rsidP="00B83176">
            <w:pPr>
              <w:widowControl w:val="0"/>
              <w:tabs>
                <w:tab w:val="right" w:pos="7767"/>
              </w:tabs>
              <w:suppressAutoHyphens/>
              <w:autoSpaceDE w:val="0"/>
              <w:autoSpaceDN w:val="0"/>
              <w:adjustRightInd w:val="0"/>
              <w:spacing w:after="0" w:line="252" w:lineRule="auto"/>
              <w:textAlignment w:val="center"/>
              <w:rPr>
                <w:rFonts w:eastAsia="Times New Roman" w:cs="Times New Roman"/>
                <w:b/>
                <w:color w:val="000000"/>
                <w:kern w:val="0"/>
                <w:sz w:val="20"/>
                <w:szCs w:val="24"/>
                <w:lang w:val="uk-UA" w:eastAsia="uk-UA"/>
                <w14:ligatures w14:val="none"/>
              </w:rPr>
            </w:pPr>
            <w:r w:rsidRPr="00B83176">
              <w:rPr>
                <w:rFonts w:eastAsia="Times New Roman" w:cs="Times New Roman"/>
                <w:b/>
                <w:color w:val="000000"/>
                <w:kern w:val="0"/>
                <w:sz w:val="20"/>
                <w:szCs w:val="24"/>
                <w:lang w:val="uk-UA" w:eastAsia="uk-UA"/>
                <w14:ligatures w14:val="none"/>
              </w:rPr>
              <w:t>РНОКПП</w:t>
            </w:r>
          </w:p>
        </w:tc>
        <w:tc>
          <w:tcPr>
            <w:tcW w:w="253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7FC473F" w14:textId="77777777" w:rsidR="00B83176" w:rsidRPr="00B83176" w:rsidRDefault="00B83176" w:rsidP="00B83176">
            <w:pPr>
              <w:spacing w:after="0" w:line="259" w:lineRule="auto"/>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д/в</w:t>
            </w:r>
          </w:p>
        </w:tc>
      </w:tr>
      <w:tr w:rsidR="00B83176" w:rsidRPr="00B83176" w14:paraId="2459B041" w14:textId="77777777" w:rsidTr="00ED72E6">
        <w:trPr>
          <w:trHeight w:val="60"/>
        </w:trPr>
        <w:tc>
          <w:tcPr>
            <w:tcW w:w="246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E6641A1" w14:textId="77777777" w:rsidR="00B83176" w:rsidRPr="00B83176" w:rsidRDefault="00B83176" w:rsidP="00B83176">
            <w:pPr>
              <w:widowControl w:val="0"/>
              <w:tabs>
                <w:tab w:val="right" w:pos="7767"/>
              </w:tabs>
              <w:suppressAutoHyphens/>
              <w:autoSpaceDE w:val="0"/>
              <w:autoSpaceDN w:val="0"/>
              <w:adjustRightInd w:val="0"/>
              <w:spacing w:after="0" w:line="252" w:lineRule="auto"/>
              <w:textAlignment w:val="center"/>
              <w:rPr>
                <w:rFonts w:eastAsia="Times New Roman" w:cs="Times New Roman"/>
                <w:b/>
                <w:color w:val="000000"/>
                <w:kern w:val="0"/>
                <w:sz w:val="20"/>
                <w:szCs w:val="24"/>
                <w:lang w:val="uk-UA" w:eastAsia="uk-UA"/>
                <w14:ligatures w14:val="none"/>
              </w:rPr>
            </w:pPr>
            <w:r w:rsidRPr="00B83176">
              <w:rPr>
                <w:rFonts w:eastAsia="Times New Roman" w:cs="Times New Roman"/>
                <w:b/>
                <w:color w:val="000000"/>
                <w:kern w:val="0"/>
                <w:sz w:val="20"/>
                <w:szCs w:val="24"/>
                <w:lang w:val="uk-UA" w:eastAsia="uk-UA"/>
                <w14:ligatures w14:val="none"/>
              </w:rPr>
              <w:t>УНЗР</w:t>
            </w:r>
          </w:p>
        </w:tc>
        <w:tc>
          <w:tcPr>
            <w:tcW w:w="253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3F0B4EC" w14:textId="77777777" w:rsidR="00B83176" w:rsidRPr="00B83176" w:rsidRDefault="00B83176" w:rsidP="00B83176">
            <w:pPr>
              <w:spacing w:after="0" w:line="259" w:lineRule="auto"/>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д/в</w:t>
            </w:r>
          </w:p>
        </w:tc>
      </w:tr>
    </w:tbl>
    <w:p w14:paraId="1FCB8462" w14:textId="77777777" w:rsidR="00B83176" w:rsidRPr="00B83176" w:rsidRDefault="00B83176" w:rsidP="00B83176">
      <w:pPr>
        <w:spacing w:line="259" w:lineRule="auto"/>
        <w:rPr>
          <w:rFonts w:ascii="Calibri" w:eastAsia="Times New Roman" w:hAnsi="Calibri" w:cs="Times New Roman"/>
          <w:kern w:val="0"/>
          <w:sz w:val="22"/>
          <w:lang w:val="uk-UA" w:eastAsia="uk-UA"/>
          <w14:ligatures w14:val="none"/>
        </w:rPr>
      </w:pPr>
    </w:p>
    <w:p w14:paraId="3BFB2C9B" w14:textId="77777777" w:rsidR="00B83176" w:rsidRPr="00B83176" w:rsidRDefault="00B83176" w:rsidP="00B83176">
      <w:pPr>
        <w:widowControl w:val="0"/>
        <w:tabs>
          <w:tab w:val="right" w:pos="7710"/>
          <w:tab w:val="right" w:pos="11514"/>
        </w:tabs>
        <w:suppressAutoHyphens/>
        <w:autoSpaceDE w:val="0"/>
        <w:autoSpaceDN w:val="0"/>
        <w:adjustRightInd w:val="0"/>
        <w:spacing w:before="57" w:after="0" w:line="257" w:lineRule="auto"/>
        <w:jc w:val="both"/>
        <w:textAlignment w:val="center"/>
        <w:rPr>
          <w:rFonts w:eastAsia="Times New Roman" w:cs="Times New Roman"/>
          <w:b/>
          <w:color w:val="000000"/>
          <w:kern w:val="0"/>
          <w:sz w:val="24"/>
          <w:szCs w:val="24"/>
          <w:lang w:val="uk-UA" w:eastAsia="uk-UA"/>
          <w14:ligatures w14:val="none"/>
        </w:rPr>
      </w:pPr>
      <w:r w:rsidRPr="00B83176">
        <w:rPr>
          <w:rFonts w:eastAsia="Times New Roman" w:cs="Times New Roman"/>
          <w:b/>
          <w:color w:val="000000"/>
          <w:kern w:val="0"/>
          <w:sz w:val="24"/>
          <w:szCs w:val="24"/>
          <w:lang w:val="uk-UA" w:eastAsia="uk-UA"/>
          <w14:ligatures w14:val="none"/>
        </w:rPr>
        <w:t>Звіт виконавчого органу:</w:t>
      </w:r>
    </w:p>
    <w:p w14:paraId="2DEB0D74" w14:textId="77777777" w:rsidR="00B83176" w:rsidRPr="00B83176" w:rsidRDefault="00B83176" w:rsidP="00B83176">
      <w:pPr>
        <w:widowControl w:val="0"/>
        <w:tabs>
          <w:tab w:val="right" w:pos="7710"/>
          <w:tab w:val="right" w:pos="11514"/>
        </w:tabs>
        <w:suppressAutoHyphens/>
        <w:autoSpaceDE w:val="0"/>
        <w:autoSpaceDN w:val="0"/>
        <w:adjustRightInd w:val="0"/>
        <w:spacing w:after="0" w:line="257" w:lineRule="auto"/>
        <w:jc w:val="center"/>
        <w:textAlignment w:val="center"/>
        <w:rPr>
          <w:rFonts w:eastAsia="Times New Roman" w:cs="Times New Roman"/>
          <w:b/>
          <w:color w:val="000000"/>
          <w:kern w:val="0"/>
          <w:sz w:val="24"/>
          <w:szCs w:val="24"/>
          <w:lang w:val="uk-UA" w:eastAsia="uk-UA"/>
          <w14:ligatures w14:val="none"/>
        </w:rPr>
      </w:pPr>
    </w:p>
    <w:p w14:paraId="2D6FD822"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Звіт виконавчого органу:</w:t>
      </w:r>
    </w:p>
    <w:p w14:paraId="36C364A6"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00F8F50C"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Звіт керівництва</w:t>
      </w:r>
    </w:p>
    <w:p w14:paraId="69DD7E6F"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Економіка Товариства, як і України в цілому, розвивалася в звітному 2025році  під впливом складних умов.</w:t>
      </w:r>
    </w:p>
    <w:p w14:paraId="7148678D"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Дуже важливим залишається питання кредитування споживачів та замовників даної продукції. Також гальмує складання прогнозів  та планів на виробництво політика цін на енергоносії та  основні комплектуючі, матеріали  для виготовлення готової продукції; ситуація в країні, через географічне розташування потужностей виробництва в зоні бойових дій. На пiдприємствi має мiсце недовикористання  промислового потенцiалу. </w:t>
      </w:r>
    </w:p>
    <w:p w14:paraId="01B981DD"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Управління ризиками на ПрАТ "Завод "Часівоярські автобуси" включає розробку і реалізацію економічно обґрунтованих рекомендацій і заходів, які спирається на результати оцінки рисків, техніко-технологічній і економічний аналіз потенціалу і середовища функціонування підприємства, нормативну базу господарювання, що діє і прогнозовану, економіко-математичні методи, маркетингові і інші дослідження.</w:t>
      </w:r>
    </w:p>
    <w:p w14:paraId="44B7B5A8"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Об'єктом оцінки і управління ризиком є стратегічні вирішення підприємства, стратегічний план, що містить ряд тверджень майбутнього розвитку зовнішнього по відношенню до підприємства середовища, рекомендацій по образу дій керівництва і колективу підприємства, прогнозних висловів про реакції на планованих стратегічних заходах споживачів продукції, постачальників сировини, конкурентів і інш.</w:t>
      </w:r>
    </w:p>
    <w:p w14:paraId="56C0B49D"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У зв'язку з розташуванням виробничих потужностей підприємства в зоні бойових дій, визваних агресією Росії проти України і неможливістю проведення господарської діяльності, виробництво за юридичною адресою було зупинено. Підприємство частково перевезло активи а саме: машини та обладнання, транспортні засоби, незавершене виробництво, запаси ТМЦ та інше у безпечнішу місцевість та  продовжує вести господарську діяльність за адресою м. Черкаси, вул. Смелянська, б.169  згідно з договором оренди нежитлового приміщення № б/н від 24.05.2022 р. (453,0 м2). </w:t>
      </w:r>
    </w:p>
    <w:p w14:paraId="39DDDFED"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0FE4485D"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Актуальною залишається проблема більш активного наповнення заводського портфелю замовлень. Вимоги до парку автобусів, які виготовляються на заводі ,що працюватимуть на маршрутах загального користування, визначена органами виконавчої влади та органами місцевого самоврядування за пасажиромісткістю, класом, технічними та екологічними показниками. А саме: обладнання двигунами, що відповідають нормам  екологічної безпеки не нижче ЄВРО 6, пасажиромісткість не менше  21 місця для сидіння (крім водія). Конструкції автобусів, які пристосовані для перевезення осіб з інвалідністю, повинні передбачати можливість перевезення одного інвалідного візка та обладнані електронними інформаційними табло. </w:t>
      </w:r>
    </w:p>
    <w:p w14:paraId="43B8D347"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Підприємство продовжує працювати над розробкою та впровадженням у виробництво нових моделей автобусів для утримання на ринку виробників автобусів; проводить їх сертифікацію в акредитованих органах відповідно до чинного законодавства України.  ПрАТ розробляє нові технології для виробництва продукції на базі комплектуючих FORD та  IVEСO (автомобіль, без кузова, незавершений КТЗ). В 2023 році була виготовлена нова модель автобуса на базі цільнометалевого фургону IVEСO  - РУТА 22С -категорія М2, клас2, євро 6 в наступній комплектації: м'які сидіння з підлокітниками 22одиниці, полиця для легкої поклажі, система кондиціювання салону з двома внутрішніми блоками, опалювач салону 2одн.,тоноване скло пасажирського салону, службові двері з електропри-водом, полиця для легкої поклажі, система кондиціювання салону з двома внутрішніми блоками, </w:t>
      </w:r>
      <w:r w:rsidRPr="00B83176">
        <w:rPr>
          <w:rFonts w:eastAsia="Times New Roman" w:cs="Times New Roman"/>
          <w:kern w:val="0"/>
          <w:sz w:val="20"/>
          <w:szCs w:val="20"/>
          <w:lang w:val="en-US" w:eastAsia="uk-UA"/>
          <w14:ligatures w14:val="none"/>
        </w:rPr>
        <w:lastRenderedPageBreak/>
        <w:t>опалювач салону 2одн.,тоноване скло пасажирського салону, службові двері з електроприводом. Всi моделі, що випускаються на підприємстві, мають товарний знак та сертифiкат якості ISO 9001, що вказує на високий рiвень виробництва. Витрати за звітний період на проведення технічної експертизи документації складають 30,0 тис.грн.; послуги з сертифікації нових КТЗ складають 87,0 тис.грн. Продукція товариства має протоколи випробувань на відповідность вимогам Правил ЄЕК ООН. Пiдприємство планує:</w:t>
      </w:r>
    </w:p>
    <w:p w14:paraId="248E2D2D"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поступово збiльшувати обсяги виробництва i реалiзацiї продукцiї, яка користується попитом;</w:t>
      </w:r>
    </w:p>
    <w:p w14:paraId="7D67DDC7"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 збiльшення виробничих площ та закупка нового обладнання; </w:t>
      </w:r>
    </w:p>
    <w:p w14:paraId="14B4119C"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освоєння нових закордонних технологiй виробництва та ремонта з наступним втiленням у масове виробництво;</w:t>
      </w:r>
    </w:p>
    <w:p w14:paraId="5B1439F4"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закрiплення ринкових позицiй;</w:t>
      </w:r>
    </w:p>
    <w:p w14:paraId="32002CE5"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розширення сектору присутностi на ринку;</w:t>
      </w:r>
    </w:p>
    <w:p w14:paraId="4BC70C35"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рiзнопланова економiя енергоносiїв.</w:t>
      </w:r>
    </w:p>
    <w:p w14:paraId="2E2C1DE1"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6D83054C"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Назва показників  </w:t>
      </w:r>
      <w:r w:rsidRPr="00B83176">
        <w:rPr>
          <w:rFonts w:eastAsia="Times New Roman" w:cs="Times New Roman"/>
          <w:kern w:val="0"/>
          <w:sz w:val="20"/>
          <w:szCs w:val="20"/>
          <w:lang w:val="en-US" w:eastAsia="uk-UA"/>
          <w14:ligatures w14:val="none"/>
        </w:rPr>
        <w:tab/>
        <w:t xml:space="preserve">                      Од.вим.       Звіт 2025 р.         Звіт 2024 р.      2025р у % до 2024р. </w:t>
      </w:r>
    </w:p>
    <w:p w14:paraId="566F162A"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Обсяг товарної продукції              тис. грн.             3995,1</w:t>
      </w:r>
      <w:r w:rsidRPr="00B83176">
        <w:rPr>
          <w:rFonts w:eastAsia="Times New Roman" w:cs="Times New Roman"/>
          <w:kern w:val="0"/>
          <w:sz w:val="20"/>
          <w:szCs w:val="20"/>
          <w:lang w:val="en-US" w:eastAsia="uk-UA"/>
          <w14:ligatures w14:val="none"/>
        </w:rPr>
        <w:tab/>
        <w:t xml:space="preserve">        4153,4                    96,1</w:t>
      </w:r>
    </w:p>
    <w:p w14:paraId="7EB23646"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Обсяг реалізованої продукції</w:t>
      </w:r>
      <w:r w:rsidRPr="00B83176">
        <w:rPr>
          <w:rFonts w:eastAsia="Times New Roman" w:cs="Times New Roman"/>
          <w:kern w:val="0"/>
          <w:sz w:val="20"/>
          <w:szCs w:val="20"/>
          <w:lang w:val="en-US" w:eastAsia="uk-UA"/>
          <w14:ligatures w14:val="none"/>
        </w:rPr>
        <w:tab/>
        <w:t>тис.грн.              3447,9</w:t>
      </w:r>
      <w:r w:rsidRPr="00B83176">
        <w:rPr>
          <w:rFonts w:eastAsia="Times New Roman" w:cs="Times New Roman"/>
          <w:kern w:val="0"/>
          <w:sz w:val="20"/>
          <w:szCs w:val="20"/>
          <w:lang w:val="en-US" w:eastAsia="uk-UA"/>
          <w14:ligatures w14:val="none"/>
        </w:rPr>
        <w:tab/>
        <w:t xml:space="preserve">        6153,4                    56,0</w:t>
      </w:r>
    </w:p>
    <w:p w14:paraId="15D926A6"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Чисельність  працюючих усього</w:t>
      </w:r>
      <w:r w:rsidRPr="00B83176">
        <w:rPr>
          <w:rFonts w:eastAsia="Times New Roman" w:cs="Times New Roman"/>
          <w:kern w:val="0"/>
          <w:sz w:val="20"/>
          <w:szCs w:val="20"/>
          <w:lang w:val="en-US" w:eastAsia="uk-UA"/>
          <w14:ligatures w14:val="none"/>
        </w:rPr>
        <w:tab/>
        <w:t>осіб</w:t>
      </w:r>
      <w:r w:rsidRPr="00B83176">
        <w:rPr>
          <w:rFonts w:eastAsia="Times New Roman" w:cs="Times New Roman"/>
          <w:kern w:val="0"/>
          <w:sz w:val="20"/>
          <w:szCs w:val="20"/>
          <w:lang w:val="en-US" w:eastAsia="uk-UA"/>
          <w14:ligatures w14:val="none"/>
        </w:rPr>
        <w:tab/>
        <w:t xml:space="preserve">                       11</w:t>
      </w:r>
      <w:r w:rsidRPr="00B83176">
        <w:rPr>
          <w:rFonts w:eastAsia="Times New Roman" w:cs="Times New Roman"/>
          <w:kern w:val="0"/>
          <w:sz w:val="20"/>
          <w:szCs w:val="20"/>
          <w:lang w:val="en-US" w:eastAsia="uk-UA"/>
          <w14:ligatures w14:val="none"/>
        </w:rPr>
        <w:tab/>
        <w:t xml:space="preserve">              12</w:t>
      </w:r>
      <w:r w:rsidRPr="00B83176">
        <w:rPr>
          <w:rFonts w:eastAsia="Times New Roman" w:cs="Times New Roman"/>
          <w:kern w:val="0"/>
          <w:sz w:val="20"/>
          <w:szCs w:val="20"/>
          <w:lang w:val="en-US" w:eastAsia="uk-UA"/>
          <w14:ligatures w14:val="none"/>
        </w:rPr>
        <w:tab/>
        <w:t xml:space="preserve">                91,7</w:t>
      </w:r>
    </w:p>
    <w:p w14:paraId="46AC74AA"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Середньомісячна  заробітна плата 1-го працюючого  грн.  88157,12      82879,32          106,3</w:t>
      </w:r>
    </w:p>
    <w:p w14:paraId="610466BC"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00E6375B"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1AE6579B"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     За підсумками поточного року обсяг виробництва промислової товарної продукції у діючих оптових цінах у 2025 році  склав 3995,1 тис.грн. (за 2024 рік - 4153,4 тис.грн.)., в тому числі по видах:</w:t>
      </w:r>
    </w:p>
    <w:p w14:paraId="11BB9BF8"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w:t>
      </w:r>
      <w:r w:rsidRPr="00B83176">
        <w:rPr>
          <w:rFonts w:eastAsia="Times New Roman" w:cs="Times New Roman"/>
          <w:kern w:val="0"/>
          <w:sz w:val="20"/>
          <w:szCs w:val="20"/>
          <w:lang w:val="en-US" w:eastAsia="uk-UA"/>
          <w14:ligatures w14:val="none"/>
        </w:rPr>
        <w:tab/>
        <w:t>виробництво автобусів  - 3526,9 тис.грн.;</w:t>
      </w:r>
    </w:p>
    <w:p w14:paraId="655B4315"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w:t>
      </w:r>
      <w:r w:rsidRPr="00B83176">
        <w:rPr>
          <w:rFonts w:eastAsia="Times New Roman" w:cs="Times New Roman"/>
          <w:kern w:val="0"/>
          <w:sz w:val="20"/>
          <w:szCs w:val="20"/>
          <w:lang w:val="en-US" w:eastAsia="uk-UA"/>
          <w14:ligatures w14:val="none"/>
        </w:rPr>
        <w:tab/>
        <w:t>інша готова продукція - 468,2  тис. грн.</w:t>
      </w:r>
    </w:p>
    <w:p w14:paraId="792977D8"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    Обсяг реалізованої товарної продукції ПрАТ "Завод "Часівоярські автобуси" у 2025 році склав 3447,9 тис.грн. ( за 2024 рік - 6153,4 тис.грн.), в тому числі по видах:</w:t>
      </w:r>
    </w:p>
    <w:p w14:paraId="46E7A1B0"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w:t>
      </w:r>
      <w:r w:rsidRPr="00B83176">
        <w:rPr>
          <w:rFonts w:eastAsia="Times New Roman" w:cs="Times New Roman"/>
          <w:kern w:val="0"/>
          <w:sz w:val="20"/>
          <w:szCs w:val="20"/>
          <w:lang w:val="en-US" w:eastAsia="uk-UA"/>
          <w14:ligatures w14:val="none"/>
        </w:rPr>
        <w:tab/>
        <w:t>автобуси   - 2903,7 тис.грн.;</w:t>
      </w:r>
    </w:p>
    <w:p w14:paraId="3F32BF78"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w:t>
      </w:r>
      <w:r w:rsidRPr="00B83176">
        <w:rPr>
          <w:rFonts w:eastAsia="Times New Roman" w:cs="Times New Roman"/>
          <w:kern w:val="0"/>
          <w:sz w:val="20"/>
          <w:szCs w:val="20"/>
          <w:lang w:val="en-US" w:eastAsia="uk-UA"/>
          <w14:ligatures w14:val="none"/>
        </w:rPr>
        <w:tab/>
        <w:t>інша готова продукція - 544,2 тис.грн.</w:t>
      </w:r>
    </w:p>
    <w:p w14:paraId="18E832F7"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      Середньомісячна заробітна плата одного штатного працівника за 2025 рік збільшилася у порівнянні з минулим роком  та склала 88157,12 грн. (у 2024 році - 82879,32 тис.грн.). У наступному 2026 році заробітна плата на одного працівника підприємства поступово зростатиме за рахунок перегляду окладів і тарифів та підвищення додаткової заробітної плати.</w:t>
      </w:r>
    </w:p>
    <w:p w14:paraId="1EF7F570"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298F9D02"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Інформація про виконавчий орган</w:t>
      </w:r>
    </w:p>
    <w:p w14:paraId="05872EF8"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Склад виконавчого органу</w:t>
      </w:r>
    </w:p>
    <w:p w14:paraId="2E21A062"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Персональний склад виконавчого органу</w:t>
      </w:r>
      <w:r w:rsidRPr="00B83176">
        <w:rPr>
          <w:rFonts w:eastAsia="Times New Roman" w:cs="Times New Roman"/>
          <w:kern w:val="0"/>
          <w:sz w:val="20"/>
          <w:szCs w:val="20"/>
          <w:lang w:val="en-US" w:eastAsia="uk-UA"/>
          <w14:ligatures w14:val="none"/>
        </w:rPr>
        <w:tab/>
        <w:t>Функціональні обов'язки</w:t>
      </w:r>
    </w:p>
    <w:p w14:paraId="5B12A398"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Директор Полосухін Олексій Володимирович</w:t>
      </w:r>
      <w:r w:rsidRPr="00B83176">
        <w:rPr>
          <w:rFonts w:eastAsia="Times New Roman" w:cs="Times New Roman"/>
          <w:kern w:val="0"/>
          <w:sz w:val="20"/>
          <w:szCs w:val="20"/>
          <w:lang w:val="en-US" w:eastAsia="uk-UA"/>
          <w14:ligatures w14:val="none"/>
        </w:rPr>
        <w:tab/>
        <w:t xml:space="preserve">Директор Товариства обирається та відкликається Наглядовою радою Товариства. </w:t>
      </w:r>
    </w:p>
    <w:p w14:paraId="751AEFCF"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Обраним вважається той кандидат, який набрав найбільшу кількість голосів.</w:t>
      </w:r>
    </w:p>
    <w:p w14:paraId="256EC020"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Директор обирається безстроково.</w:t>
      </w:r>
    </w:p>
    <w:p w14:paraId="24CD6311"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Повноваження Директора достроково припиняються за рішенням Наглядової ради Товариства з таких підстав:</w:t>
      </w:r>
    </w:p>
    <w:p w14:paraId="765E5C0A"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1) завдання Товариству його діями або бездіяльністю суттєвих збитків;</w:t>
      </w:r>
    </w:p>
    <w:p w14:paraId="1CFDD5CF"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2) завдання шкоди діловій репутації Товариства;</w:t>
      </w:r>
    </w:p>
    <w:p w14:paraId="51002883"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3) приховування своєї заінтересованості у вчиненні правочину за  участю Товариства, яким можуть бути завдані збитки Товариству;</w:t>
      </w:r>
    </w:p>
    <w:p w14:paraId="0E1EF9EB"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4) неналежне виконання своїх обов'язків;</w:t>
      </w:r>
    </w:p>
    <w:p w14:paraId="5566550E"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5) порушення положень Статуту Товариства, а також норм чинного законодавства про акціонерні товариства;</w:t>
      </w:r>
    </w:p>
    <w:p w14:paraId="51D9EC20"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6) розголошення комерційної таємниці, конфіденційної або інсайдерської інформації.</w:t>
      </w:r>
    </w:p>
    <w:p w14:paraId="30447300"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Повноваження Директора припиняються за рішенням Наглядової ради з одночасним прийняттям рішення про призначення Директора або особи, яка тимчасово здійснюватиме його повноваження.</w:t>
      </w:r>
    </w:p>
    <w:p w14:paraId="4CFC85A4"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Повноваження Директора припиняються без рішення Наглядової ради Товариства у разі:1) за письмовою заявою Директора за умови повідомлення Товариства за 2 (два) тижні;2) в разі набрання законної сили вироком чи рішенням суду, яким його засуджено до покарання, що виключає  можливість виконання обов'язків Директора;3) в разі смерті, визнання його недієздатним, обмежено дієздатним, безвісно відсутнім, померлим.</w:t>
      </w:r>
    </w:p>
    <w:p w14:paraId="0E9FB8BA"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207E6A60"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Чи проведені засідання виконавчого органу:</w:t>
      </w:r>
    </w:p>
    <w:p w14:paraId="2CC39E32"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загальний опис прийнятих на них рішень;</w:t>
      </w:r>
    </w:p>
    <w:p w14:paraId="6798BC47"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інформація про результати роботи виконавчого органу;</w:t>
      </w:r>
    </w:p>
    <w:p w14:paraId="697BE102"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визначення, як діяльність виконавчого органу зумовила зміни у фінансово-господарській діяльності товариства.</w:t>
      </w:r>
      <w:r w:rsidRPr="00B83176">
        <w:rPr>
          <w:rFonts w:eastAsia="Times New Roman" w:cs="Times New Roman"/>
          <w:kern w:val="0"/>
          <w:sz w:val="20"/>
          <w:szCs w:val="20"/>
          <w:lang w:val="en-US" w:eastAsia="uk-UA"/>
          <w14:ligatures w14:val="none"/>
        </w:rPr>
        <w:tab/>
        <w:t>Засідання виконавчого органу не проводяться, так як виконавчим органом є  директор одноосібно.</w:t>
      </w:r>
    </w:p>
    <w:p w14:paraId="5073F52C"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Оцінка роботи виконавчого органу</w:t>
      </w:r>
      <w:r w:rsidRPr="00B83176">
        <w:rPr>
          <w:rFonts w:eastAsia="Times New Roman" w:cs="Times New Roman"/>
          <w:kern w:val="0"/>
          <w:sz w:val="20"/>
          <w:szCs w:val="20"/>
          <w:lang w:val="en-US" w:eastAsia="uk-UA"/>
          <w14:ligatures w14:val="none"/>
        </w:rPr>
        <w:tab/>
        <w:t>Згідно протоколу Засідання  Наглядової ради Товариства №2 від 11.04.2026р. визнати роботу Директора у 2025р .задовільною.</w:t>
      </w:r>
    </w:p>
    <w:p w14:paraId="0B9184F6"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68A67B06"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Підприємство володіє виробничими потужностями, що значиться на його балансі на правах володіння, розпорядження, користування, без обмеження у термінах. </w:t>
      </w:r>
    </w:p>
    <w:p w14:paraId="55CA9515"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Основних засобів, щодо яких існують передбачені чинним законодавством обмеження права власності на Підприємстві немає. Основні засоби  у податковій заставі не знаходяться.</w:t>
      </w:r>
    </w:p>
    <w:p w14:paraId="57C622CA"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Терміни використовування складають:</w:t>
      </w:r>
    </w:p>
    <w:p w14:paraId="67318941"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-будинків та споруд від 20 до 50 років;</w:t>
      </w:r>
    </w:p>
    <w:p w14:paraId="726B75B3"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-машин та обладнання від 2 до 10 років;</w:t>
      </w:r>
    </w:p>
    <w:p w14:paraId="1F8F543B"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-транспортних засобів від 5 до 10 років;</w:t>
      </w:r>
    </w:p>
    <w:p w14:paraId="589F2D2E"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lastRenderedPageBreak/>
        <w:t>-інструментів, меблів, приладів від 4 до 10 років.</w:t>
      </w:r>
    </w:p>
    <w:p w14:paraId="6D951E11"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Об'єкти  основних засобів використовуються Підприємством за цільовим призначенням.</w:t>
      </w:r>
    </w:p>
    <w:p w14:paraId="0CAF62A6"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Ступiнь зносу основних засобiв виробничого призначення: будiвлi та споруди - 66,6%,  машини та обладнання - 66,6%, транспортнi засоби - 77,49%, iншi - 93,21% , в цiлому - 67,7%. </w:t>
      </w:r>
    </w:p>
    <w:p w14:paraId="3F682025"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На початок звiтного перiоду первiсна вартiсть основних засобiв складає - 16560,0тис.грн, знос - 10764,0тис.грн, залишкова вартiсть - 5796,0тис.грн.</w:t>
      </w:r>
    </w:p>
    <w:p w14:paraId="18A5FADE"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    На початок звiтного перiоду первiсна вартiсть основних засобiв складає - 16592,0тис.грн, знос - 11150тис.грн, залишкова вартiсть - 5442,0тис.грн.</w:t>
      </w:r>
    </w:p>
    <w:p w14:paraId="3295DECE"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    Протягом 2025року введення в експлуатацiю основних засобiв  не було.  </w:t>
      </w:r>
    </w:p>
    <w:p w14:paraId="3A915B9B"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757409D2"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Протягом 2025року вибуття основних засобів не було. </w:t>
      </w:r>
    </w:p>
    <w:p w14:paraId="7FA9A62F"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 Протягом 2025року нараховано амортизацiї по основним засобам на суму 350,0тис.грн., в тому числi за групами:</w:t>
      </w:r>
    </w:p>
    <w:p w14:paraId="2A5964AB"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машин та обладнання - 202,0тис.грн,</w:t>
      </w:r>
    </w:p>
    <w:p w14:paraId="4277B6E2"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транспортних засобiв - 144,0тис.грн.,</w:t>
      </w:r>
    </w:p>
    <w:p w14:paraId="05AFCFE0"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МНМА - 9,0тис.грн.</w:t>
      </w:r>
    </w:p>
    <w:p w14:paraId="44C67AB3"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На кінець звiтного перiоду первiсна вартiсть основних засобiв складає - 16592,0тис.грн, знос - 11499тис.грн, залишкова вартiсть - 5093,0тис.грн.</w:t>
      </w:r>
    </w:p>
    <w:p w14:paraId="0D5DF2F5"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 Обмежень на використання основних засобiв не має.</w:t>
      </w:r>
    </w:p>
    <w:p w14:paraId="683E50E2"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Всi основнi засоби находяться у належному станi.</w:t>
      </w:r>
    </w:p>
    <w:p w14:paraId="39B1CA90"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Технiчне обслуговування та ремонт основних засобiв проводяться у термiни зазначенi у технiчних умовах використання основних засобiв.</w:t>
      </w:r>
    </w:p>
    <w:p w14:paraId="74B4D5B1"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Пiдприємство проводить капiтальнi ремонти будiвель, споруд, машин та обладнання.</w:t>
      </w:r>
    </w:p>
    <w:p w14:paraId="5876F045"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У зв'язку з проведенням бойових дій на території, де підприємство залишило свої активи у вигляді основних засобів та запасів, підприємство фактично втратило контроль над цими активами. </w:t>
      </w:r>
    </w:p>
    <w:p w14:paraId="65EC6267"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Тому було прийнято рішення про нарахування резерву на ці активи. Резерв на основні засоби по залишковій вартості, які залишились у Часовому Ярі  -3111,0тис.грн.</w:t>
      </w:r>
    </w:p>
    <w:p w14:paraId="3887F35E"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 Всi виробничі потужності, спрямовані на розробку й постановку на виробництво нових видiв продукцiї. Така iнтенсивна pозpобка й змiна моделей викликана вимогами, що швидко ростуть та змiнюються, як перевiзникiв, так й адмiнiстративних органiв, якi здiйснюють органiзацiю й контроль за перевiзниками. Всi моделi, що серiйно випускаються, мають сертифiкат відповідності й узгодження конструкцiї, що вказує на високий рiвень виробництва. Для забезпечення виробничого процесу заводом здобувалося устаткування різного напрямку вiд зварювального, шліфувального до ПК. Мета розвитку підприємства  в 2023 році  полягала в безперервному вдосконаленні технологічних циклів, оновленні і ремонті основних засобів. Без ясного, глибоко продуманого виробничого циклу немає організованого виробництва. За минулий рік завод залишився вірний своїм традиціям, що склалися за всі роки існування. Громіздке, технологічно і морально застаріле устаткування демонтоване. На його зміну прийшло мобільне, продуктивне, яке відповідає вимогам сьогоднішнього дня і технологіям. Це відрізні і зачисні машини, електролобзики, зварювальні апарати; було закуплено свердлильний та листозгинальний верстати. У 2023 році введена в роботу мережева сонячна електростанція, яка живить виробничі потужності підприємства і дасть можливість економії електроенергії; проведено капітальний ремонт системи опалення адмінбудівлі та виробничих ділянок, ремонт покрівлі будівлі. При рішенні основної задачі - зміцненні позицій заводу в збільшенні кількості автобусів, що випускаються, поліпшення їх якості, підвищенні конкурентоспроможності і ринкової стійкості, колектив заводу застосовує комплексний підхід. Вживання даного методу дозволяє піднімати і удосконалювати виробничо-технологічний рівень всіх ділянок і відділень, забезпечуючи зростання виробництва і введення нових моделей. Для поліпшення умов праці, забезпечення введення енергозберігаючих технологій, збільшення товарного навантаження на один кв. метр виробничої площі, кількості автобусів, що випускаються, на одного працівника заводу підприємство відмовилося від заходів підготовки до осінньо-зимового періоду. Зараз роботи по забезпеченню безперервності створення виробничий цінностей ведуться круглий рік. Так за минулий рік вироблені ремонтно-будівельні роботи в слюсарно-заготівельних цехах, у цеху внутрішньої обробки і комплектування автобусів, на допоміжній  дільниці в підрозділі охорони. Всі роботи, підсумок яких, що стійко працює і динамічно розвивається підприємство, не могли вироблятися без серйозних фінансових інвестицій. Всі проекти реалізовуються за власні кошти підприємства.</w:t>
      </w:r>
    </w:p>
    <w:p w14:paraId="529030D8"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Мета розвитку підприємства  в 2025 році  полягала в безперервному вдосконаленні технологічних циклів, оновленні і ремонті основних засобів, а саме:</w:t>
      </w:r>
    </w:p>
    <w:p w14:paraId="00AEA431"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завершення реконструкції допоміжної дільниці;</w:t>
      </w:r>
    </w:p>
    <w:p w14:paraId="46DD977C"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перенесення складу труб та сталі на площі складу загального призначення, що вивільняються;</w:t>
      </w:r>
    </w:p>
    <w:p w14:paraId="3E0945EB"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монтаж всіх металоконструкцій в новому складі труб під установку кран-балки;</w:t>
      </w:r>
    </w:p>
    <w:p w14:paraId="04CC0D75"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облаштування виробничих приміщень;</w:t>
      </w:r>
    </w:p>
    <w:p w14:paraId="232D071D"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удосконалення системи відеоспостереження;</w:t>
      </w:r>
    </w:p>
    <w:p w14:paraId="1176B390"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подальший якісний розвиток моделей автобусів, що випускаються;</w:t>
      </w:r>
    </w:p>
    <w:p w14:paraId="11D34E7E"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постановка на виробництво нових досконаліших моделей.</w:t>
      </w:r>
    </w:p>
    <w:p w14:paraId="7276ED92"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5784E3E9"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В результаті складних умов, в яких опинилося підприємство , Товариство за 2025 рік отримало збиток у розмірі 844,0тис.грн. </w:t>
      </w:r>
    </w:p>
    <w:p w14:paraId="202854D0"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Сума збитку, що одержало підприємство, обумовлена  обсягом продажу продукції, її якістю й конкурентоспроможністю на внутрішньому й зовнішньому ринках, номенклатурою, рівнем витрат, а також інфляційними процесами.</w:t>
      </w:r>
    </w:p>
    <w:p w14:paraId="464A6A02"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Аналіз динаміки прибутку підприємства</w:t>
      </w:r>
    </w:p>
    <w:p w14:paraId="2FD19C47"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Показники</w:t>
      </w:r>
      <w:r w:rsidRPr="00B83176">
        <w:rPr>
          <w:rFonts w:eastAsia="Times New Roman" w:cs="Times New Roman"/>
          <w:kern w:val="0"/>
          <w:sz w:val="20"/>
          <w:szCs w:val="20"/>
          <w:lang w:val="en-US" w:eastAsia="uk-UA"/>
          <w14:ligatures w14:val="none"/>
        </w:rPr>
        <w:tab/>
        <w:t xml:space="preserve">  Факт (тис.грн.)</w:t>
      </w:r>
      <w:r w:rsidRPr="00B83176">
        <w:rPr>
          <w:rFonts w:eastAsia="Times New Roman" w:cs="Times New Roman"/>
          <w:kern w:val="0"/>
          <w:sz w:val="20"/>
          <w:szCs w:val="20"/>
          <w:lang w:val="en-US" w:eastAsia="uk-UA"/>
          <w14:ligatures w14:val="none"/>
        </w:rPr>
        <w:tab/>
        <w:t xml:space="preserve">             2025       2024             </w:t>
      </w:r>
      <w:r w:rsidRPr="00B83176">
        <w:rPr>
          <w:rFonts w:eastAsia="Times New Roman" w:cs="Times New Roman"/>
          <w:kern w:val="0"/>
          <w:sz w:val="20"/>
          <w:szCs w:val="20"/>
          <w:lang w:val="en-US" w:eastAsia="uk-UA"/>
          <w14:ligatures w14:val="none"/>
        </w:rPr>
        <w:tab/>
      </w:r>
      <w:r w:rsidRPr="00B83176">
        <w:rPr>
          <w:rFonts w:eastAsia="Times New Roman" w:cs="Times New Roman"/>
          <w:kern w:val="0"/>
          <w:sz w:val="20"/>
          <w:szCs w:val="20"/>
          <w:lang w:val="en-US" w:eastAsia="uk-UA"/>
          <w14:ligatures w14:val="none"/>
        </w:rPr>
        <w:tab/>
      </w:r>
    </w:p>
    <w:p w14:paraId="1765298F"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Валовий прибуток від реалізації </w:t>
      </w:r>
    </w:p>
    <w:p w14:paraId="1EF81DA8"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товарів, робіт, послуг</w:t>
      </w:r>
      <w:r w:rsidRPr="00B83176">
        <w:rPr>
          <w:rFonts w:eastAsia="Times New Roman" w:cs="Times New Roman"/>
          <w:kern w:val="0"/>
          <w:sz w:val="20"/>
          <w:szCs w:val="20"/>
          <w:lang w:val="en-US" w:eastAsia="uk-UA"/>
          <w14:ligatures w14:val="none"/>
        </w:rPr>
        <w:tab/>
        <w:t xml:space="preserve">                  1172        1196                               </w:t>
      </w:r>
      <w:r w:rsidRPr="00B83176">
        <w:rPr>
          <w:rFonts w:eastAsia="Times New Roman" w:cs="Times New Roman"/>
          <w:kern w:val="0"/>
          <w:sz w:val="20"/>
          <w:szCs w:val="20"/>
          <w:lang w:val="en-US" w:eastAsia="uk-UA"/>
          <w14:ligatures w14:val="none"/>
        </w:rPr>
        <w:tab/>
      </w:r>
      <w:r w:rsidRPr="00B83176">
        <w:rPr>
          <w:rFonts w:eastAsia="Times New Roman" w:cs="Times New Roman"/>
          <w:kern w:val="0"/>
          <w:sz w:val="20"/>
          <w:szCs w:val="20"/>
          <w:lang w:val="en-US" w:eastAsia="uk-UA"/>
          <w14:ligatures w14:val="none"/>
        </w:rPr>
        <w:tab/>
      </w:r>
    </w:p>
    <w:p w14:paraId="2F966D2E"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lastRenderedPageBreak/>
        <w:t>Фінансовий результат від</w:t>
      </w:r>
    </w:p>
    <w:p w14:paraId="38E74B90"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Операційної діяльності</w:t>
      </w:r>
      <w:r w:rsidRPr="00B83176">
        <w:rPr>
          <w:rFonts w:eastAsia="Times New Roman" w:cs="Times New Roman"/>
          <w:kern w:val="0"/>
          <w:sz w:val="20"/>
          <w:szCs w:val="20"/>
          <w:lang w:val="en-US" w:eastAsia="uk-UA"/>
          <w14:ligatures w14:val="none"/>
        </w:rPr>
        <w:tab/>
        <w:t xml:space="preserve">                  (9612)      (10682)                                      </w:t>
      </w:r>
    </w:p>
    <w:p w14:paraId="1C4AA297"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Чистий фінансовий результат</w:t>
      </w:r>
      <w:r w:rsidRPr="00B83176">
        <w:rPr>
          <w:rFonts w:eastAsia="Times New Roman" w:cs="Times New Roman"/>
          <w:kern w:val="0"/>
          <w:sz w:val="20"/>
          <w:szCs w:val="20"/>
          <w:lang w:val="en-US" w:eastAsia="uk-UA"/>
          <w14:ligatures w14:val="none"/>
        </w:rPr>
        <w:tab/>
        <w:t xml:space="preserve">      (2635)         (844)                         </w:t>
      </w:r>
      <w:r w:rsidRPr="00B83176">
        <w:rPr>
          <w:rFonts w:eastAsia="Times New Roman" w:cs="Times New Roman"/>
          <w:kern w:val="0"/>
          <w:sz w:val="20"/>
          <w:szCs w:val="20"/>
          <w:lang w:val="en-US" w:eastAsia="uk-UA"/>
          <w14:ligatures w14:val="none"/>
        </w:rPr>
        <w:tab/>
      </w:r>
    </w:p>
    <w:p w14:paraId="764C3512"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649CF8E9"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ПРАТ "ЗАВОД "ЧАСІВОЯРСЬКІ АВТОБУСИ" має в своєму розпорядженні достатні ресурси і достатній запас грошових коштів. У керівництва, як і раніше, є достатні підстави очікувати, що Товариство має необхідні ресурси для продовження діяльності протягом як мінімум наступних 12 місяців і далі в найближчому майбутньому і що припущення про безперервність діяльності залишається обґрунтованим.</w:t>
      </w:r>
    </w:p>
    <w:p w14:paraId="7505E8C5"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 xml:space="preserve">Враховуючи те, що перебіг військових дій може суттєво вплинути на операційне середовище в країні, а остаточне врегулювання неможливо передбачити з достатньою вірогідністю, Товариство ухвалило рішення надалі спостерігати за ситуацією та готове внести коригування до  фінансової звітності, за необхідності, щойно зможе оцінити вплив негативних факторів. . </w:t>
      </w:r>
    </w:p>
    <w:p w14:paraId="7EBFBD81"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Слід очікувати, що українська економіка постраждає від військових дій та потенційних майбутніх військових проблем, що може негативно позначитися на операційній діяльності Товариства. Проте кількісно визначити відповідний фінансовий вплив неможливо.</w:t>
      </w:r>
    </w:p>
    <w:p w14:paraId="1CD60C74" w14:textId="77777777" w:rsidR="00B83176" w:rsidRPr="00B83176" w:rsidRDefault="00B83176" w:rsidP="00B83176">
      <w:pPr>
        <w:spacing w:after="0"/>
        <w:rPr>
          <w:rFonts w:eastAsia="Times New Roman" w:cs="Times New Roman"/>
          <w:kern w:val="0"/>
          <w:sz w:val="20"/>
          <w:szCs w:val="20"/>
          <w:lang w:val="en-US" w:eastAsia="uk-UA"/>
          <w14:ligatures w14:val="none"/>
        </w:rPr>
      </w:pPr>
      <w:r w:rsidRPr="00B83176">
        <w:rPr>
          <w:rFonts w:eastAsia="Times New Roman" w:cs="Times New Roman"/>
          <w:kern w:val="0"/>
          <w:sz w:val="20"/>
          <w:szCs w:val="20"/>
          <w:lang w:val="en-US" w:eastAsia="uk-UA"/>
          <w14:ligatures w14:val="none"/>
        </w:rPr>
        <w:t>Ці події підвищують рівень невизначеності, яка притаманна припущенням, зробленим при розрахунку оціночних значень, використаних у бухгалтерській звітності, а також рівень ризику під час здійснення господарської діяльності в Україні. Суспільство перебуває у процесі оцінки впливу описаних обставин на бухгалтерську звітність.</w:t>
      </w:r>
    </w:p>
    <w:p w14:paraId="5AA88B17"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0EECE01A"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305E0AC1"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22CF68A1" w14:textId="77777777" w:rsidR="00B83176" w:rsidRPr="00B83176" w:rsidRDefault="00B83176" w:rsidP="00B83176">
      <w:pPr>
        <w:spacing w:after="0"/>
        <w:rPr>
          <w:rFonts w:eastAsia="Times New Roman" w:cs="Times New Roman"/>
          <w:kern w:val="0"/>
          <w:sz w:val="20"/>
          <w:szCs w:val="20"/>
          <w:lang w:val="en-US" w:eastAsia="uk-UA"/>
          <w14:ligatures w14:val="none"/>
        </w:rPr>
      </w:pPr>
    </w:p>
    <w:p w14:paraId="59F80D5F" w14:textId="77777777" w:rsidR="00B83176" w:rsidRDefault="00B83176" w:rsidP="006C0B77">
      <w:pPr>
        <w:spacing w:after="0"/>
        <w:ind w:firstLine="709"/>
        <w:jc w:val="both"/>
        <w:sectPr w:rsidR="00B83176" w:rsidSect="00B83176">
          <w:pgSz w:w="11906" w:h="16838"/>
          <w:pgMar w:top="363" w:right="567" w:bottom="363" w:left="1417" w:header="709" w:footer="709" w:gutter="0"/>
          <w:cols w:space="708"/>
          <w:docGrid w:linePitch="381"/>
        </w:sectPr>
      </w:pPr>
    </w:p>
    <w:p w14:paraId="1C25DEF0" w14:textId="77777777" w:rsidR="00B83176" w:rsidRPr="00B83176" w:rsidRDefault="00B83176" w:rsidP="00B83176">
      <w:pPr>
        <w:keepNext/>
        <w:keepLines/>
        <w:widowControl w:val="0"/>
        <w:tabs>
          <w:tab w:val="right" w:pos="7710"/>
        </w:tabs>
        <w:suppressAutoHyphens/>
        <w:autoSpaceDE w:val="0"/>
        <w:autoSpaceDN w:val="0"/>
        <w:adjustRightInd w:val="0"/>
        <w:spacing w:before="113" w:after="57" w:line="257" w:lineRule="auto"/>
        <w:textAlignment w:val="center"/>
        <w:rPr>
          <w:rFonts w:eastAsia="Times New Roman" w:cs="Times New Roman"/>
          <w:b/>
          <w:bCs/>
          <w:color w:val="000000"/>
          <w:kern w:val="0"/>
          <w:sz w:val="24"/>
          <w:szCs w:val="24"/>
          <w:lang w:val="uk-UA" w:eastAsia="uk-UA"/>
          <w14:ligatures w14:val="none"/>
        </w:rPr>
      </w:pPr>
      <w:r w:rsidRPr="00B83176">
        <w:rPr>
          <w:rFonts w:eastAsia="Times New Roman" w:cs="Times New Roman"/>
          <w:b/>
          <w:bCs/>
          <w:color w:val="000000"/>
          <w:kern w:val="0"/>
          <w:sz w:val="24"/>
          <w:szCs w:val="24"/>
          <w:lang w:val="uk-UA" w:eastAsia="uk-UA"/>
          <w14:ligatures w14:val="none"/>
        </w:rPr>
        <w:lastRenderedPageBreak/>
        <w:t>Частина 8. Інформація щодо осіб, які прямо або опосередковано є власниками значного пакета акцій особи</w:t>
      </w:r>
    </w:p>
    <w:tbl>
      <w:tblPr>
        <w:tblW w:w="5000" w:type="pct"/>
        <w:tblCellMar>
          <w:left w:w="0" w:type="dxa"/>
          <w:right w:w="0" w:type="dxa"/>
        </w:tblCellMar>
        <w:tblLook w:val="0000" w:firstRow="0" w:lastRow="0" w:firstColumn="0" w:lastColumn="0" w:noHBand="0" w:noVBand="0"/>
      </w:tblPr>
      <w:tblGrid>
        <w:gridCol w:w="4505"/>
        <w:gridCol w:w="1781"/>
        <w:gridCol w:w="1778"/>
        <w:gridCol w:w="3201"/>
        <w:gridCol w:w="4837"/>
      </w:tblGrid>
      <w:tr w:rsidR="00B83176" w:rsidRPr="00B83176" w14:paraId="19E7D85E" w14:textId="77777777" w:rsidTr="00ED72E6">
        <w:trPr>
          <w:trHeight w:val="60"/>
        </w:trPr>
        <w:tc>
          <w:tcPr>
            <w:tcW w:w="139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3E66677" w14:textId="77777777" w:rsidR="00B83176" w:rsidRPr="00B83176" w:rsidRDefault="00B83176" w:rsidP="00B83176">
            <w:pPr>
              <w:widowControl w:val="0"/>
              <w:tabs>
                <w:tab w:val="right" w:pos="6350"/>
              </w:tabs>
              <w:suppressAutoHyphens/>
              <w:autoSpaceDE w:val="0"/>
              <w:autoSpaceDN w:val="0"/>
              <w:adjustRightInd w:val="0"/>
              <w:spacing w:after="0" w:line="257" w:lineRule="auto"/>
              <w:textAlignment w:val="center"/>
              <w:rPr>
                <w:rFonts w:eastAsia="Times New Roman" w:cs="Times New Roman"/>
                <w:b/>
                <w:color w:val="000000"/>
                <w:kern w:val="0"/>
                <w:sz w:val="20"/>
                <w:szCs w:val="20"/>
                <w:lang w:val="uk-UA" w:eastAsia="uk-UA"/>
                <w14:ligatures w14:val="none"/>
              </w:rPr>
            </w:pPr>
            <w:r w:rsidRPr="00B83176">
              <w:rPr>
                <w:rFonts w:eastAsia="Times New Roman" w:cs="Times New Roman"/>
                <w:b/>
                <w:color w:val="000000"/>
                <w:kern w:val="0"/>
                <w:sz w:val="20"/>
                <w:szCs w:val="20"/>
                <w:lang w:val="en-US" w:eastAsia="uk-UA"/>
                <w14:ligatures w14:val="none"/>
              </w:rPr>
              <w:t xml:space="preserve">        </w:t>
            </w:r>
            <w:r w:rsidRPr="00B83176">
              <w:rPr>
                <w:rFonts w:eastAsia="Times New Roman" w:cs="Times New Roman"/>
                <w:b/>
                <w:color w:val="000000"/>
                <w:kern w:val="0"/>
                <w:sz w:val="20"/>
                <w:szCs w:val="20"/>
                <w:lang w:val="uk-UA" w:eastAsia="uk-UA"/>
                <w14:ligatures w14:val="none"/>
              </w:rPr>
              <w:t xml:space="preserve">Ім’я або повне найменування акціонера </w:t>
            </w:r>
          </w:p>
        </w:tc>
        <w:tc>
          <w:tcPr>
            <w:tcW w:w="553"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8F5D5CB"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0"/>
                <w:lang w:val="uk-UA" w:eastAsia="uk-UA"/>
                <w14:ligatures w14:val="none"/>
              </w:rPr>
            </w:pPr>
            <w:r w:rsidRPr="00B83176">
              <w:rPr>
                <w:rFonts w:eastAsia="Times New Roman" w:cs="Times New Roman"/>
                <w:b/>
                <w:color w:val="000000"/>
                <w:kern w:val="0"/>
                <w:sz w:val="20"/>
                <w:szCs w:val="20"/>
                <w:lang w:val="uk-UA" w:eastAsia="uk-UA"/>
                <w14:ligatures w14:val="none"/>
              </w:rPr>
              <w:t>РНОКПП</w:t>
            </w:r>
          </w:p>
        </w:tc>
        <w:tc>
          <w:tcPr>
            <w:tcW w:w="55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A17C29C"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0"/>
                <w:lang w:val="uk-UA" w:eastAsia="uk-UA"/>
                <w14:ligatures w14:val="none"/>
              </w:rPr>
            </w:pPr>
            <w:r w:rsidRPr="00B83176">
              <w:rPr>
                <w:rFonts w:eastAsia="Times New Roman" w:cs="Times New Roman"/>
                <w:b/>
                <w:color w:val="000000"/>
                <w:kern w:val="0"/>
                <w:sz w:val="20"/>
                <w:szCs w:val="20"/>
                <w:lang w:val="uk-UA" w:eastAsia="uk-UA"/>
                <w14:ligatures w14:val="none"/>
              </w:rPr>
              <w:t>УНЗР</w:t>
            </w:r>
          </w:p>
        </w:tc>
        <w:tc>
          <w:tcPr>
            <w:tcW w:w="994"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C91A9CC"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0"/>
                <w:lang w:val="uk-UA" w:eastAsia="uk-UA"/>
                <w14:ligatures w14:val="none"/>
              </w:rPr>
            </w:pPr>
            <w:r w:rsidRPr="00B83176">
              <w:rPr>
                <w:rFonts w:eastAsia="Times New Roman" w:cs="Times New Roman"/>
                <w:b/>
                <w:color w:val="000000"/>
                <w:kern w:val="0"/>
                <w:sz w:val="20"/>
                <w:szCs w:val="20"/>
                <w:lang w:val="uk-UA" w:eastAsia="uk-UA"/>
                <w14:ligatures w14:val="none"/>
              </w:rPr>
              <w:t>Розмір значного пакета акцій</w:t>
            </w:r>
          </w:p>
        </w:tc>
        <w:tc>
          <w:tcPr>
            <w:tcW w:w="150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B2BC9C2"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0"/>
                <w:lang w:val="uk-UA" w:eastAsia="uk-UA"/>
                <w14:ligatures w14:val="none"/>
              </w:rPr>
            </w:pPr>
            <w:r w:rsidRPr="00B83176">
              <w:rPr>
                <w:rFonts w:eastAsia="Times New Roman" w:cs="Times New Roman"/>
                <w:b/>
                <w:color w:val="000000"/>
                <w:kern w:val="0"/>
                <w:sz w:val="20"/>
                <w:szCs w:val="20"/>
                <w:lang w:val="uk-UA" w:eastAsia="uk-UA"/>
                <w14:ligatures w14:val="none"/>
              </w:rPr>
              <w:t>Розмір пакета акцій, що знаходиться в прямому та (опосередкованому) володінні</w:t>
            </w:r>
          </w:p>
        </w:tc>
      </w:tr>
      <w:tr w:rsidR="00B83176" w:rsidRPr="00B83176" w14:paraId="78A83576" w14:textId="77777777" w:rsidTr="00ED72E6">
        <w:trPr>
          <w:trHeight w:val="60"/>
        </w:trPr>
        <w:tc>
          <w:tcPr>
            <w:tcW w:w="139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E644D29" w14:textId="77777777" w:rsidR="00B83176" w:rsidRPr="00B83176" w:rsidRDefault="00B83176" w:rsidP="00B83176">
            <w:pPr>
              <w:widowControl w:val="0"/>
              <w:tabs>
                <w:tab w:val="right" w:pos="6350"/>
              </w:tabs>
              <w:suppressAutoHyphens/>
              <w:autoSpaceDE w:val="0"/>
              <w:autoSpaceDN w:val="0"/>
              <w:adjustRightInd w:val="0"/>
              <w:spacing w:after="0" w:line="257" w:lineRule="auto"/>
              <w:textAlignment w:val="center"/>
              <w:rPr>
                <w:rFonts w:eastAsia="Times New Roman" w:cs="Times New Roman"/>
                <w:color w:val="000000"/>
                <w:kern w:val="0"/>
                <w:sz w:val="20"/>
                <w:szCs w:val="20"/>
                <w:lang w:val="en-US" w:eastAsia="uk-UA"/>
                <w14:ligatures w14:val="none"/>
              </w:rPr>
            </w:pPr>
            <w:r w:rsidRPr="00B83176">
              <w:rPr>
                <w:rFonts w:eastAsia="Times New Roman" w:cs="Times New Roman"/>
                <w:color w:val="000000"/>
                <w:kern w:val="0"/>
                <w:sz w:val="20"/>
                <w:szCs w:val="20"/>
                <w:lang w:val="en-US" w:eastAsia="uk-UA"/>
                <w14:ligatures w14:val="none"/>
              </w:rPr>
              <w:t>Полосухін Олексій Володимирович</w:t>
            </w:r>
          </w:p>
        </w:tc>
        <w:tc>
          <w:tcPr>
            <w:tcW w:w="553"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18F114E2"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uk-UA" w:eastAsia="uk-UA"/>
                <w14:ligatures w14:val="none"/>
              </w:rPr>
            </w:pPr>
            <w:r w:rsidRPr="00B83176">
              <w:rPr>
                <w:rFonts w:eastAsia="Times New Roman" w:cs="Times New Roman"/>
                <w:color w:val="000000"/>
                <w:kern w:val="0"/>
                <w:sz w:val="20"/>
                <w:szCs w:val="20"/>
                <w:lang w:val="uk-UA" w:eastAsia="uk-UA"/>
                <w14:ligatures w14:val="none"/>
              </w:rPr>
              <w:t>280250465</w:t>
            </w:r>
          </w:p>
        </w:tc>
        <w:tc>
          <w:tcPr>
            <w:tcW w:w="55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3BAE6A8"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uk-UA" w:eastAsia="uk-UA"/>
                <w14:ligatures w14:val="none"/>
              </w:rPr>
            </w:pPr>
            <w:r w:rsidRPr="00B83176">
              <w:rPr>
                <w:rFonts w:eastAsia="Times New Roman" w:cs="Times New Roman"/>
                <w:color w:val="000000"/>
                <w:kern w:val="0"/>
                <w:sz w:val="20"/>
                <w:szCs w:val="20"/>
                <w:lang w:val="uk-UA" w:eastAsia="uk-UA"/>
                <w14:ligatures w14:val="none"/>
              </w:rPr>
              <w:t>19760923-04117</w:t>
            </w:r>
          </w:p>
        </w:tc>
        <w:tc>
          <w:tcPr>
            <w:tcW w:w="994"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42FC2F3"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uk-UA" w:eastAsia="uk-UA"/>
                <w14:ligatures w14:val="none"/>
              </w:rPr>
            </w:pPr>
            <w:r w:rsidRPr="00B83176">
              <w:rPr>
                <w:rFonts w:eastAsia="Times New Roman" w:cs="Times New Roman"/>
                <w:color w:val="000000"/>
                <w:kern w:val="0"/>
                <w:sz w:val="20"/>
                <w:szCs w:val="20"/>
                <w:lang w:val="uk-UA" w:eastAsia="uk-UA"/>
                <w14:ligatures w14:val="none"/>
              </w:rPr>
              <w:t>2112249</w:t>
            </w:r>
          </w:p>
        </w:tc>
        <w:tc>
          <w:tcPr>
            <w:tcW w:w="150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1756D14D"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uk-UA" w:eastAsia="uk-UA"/>
                <w14:ligatures w14:val="none"/>
              </w:rPr>
            </w:pPr>
            <w:r w:rsidRPr="00B83176">
              <w:rPr>
                <w:rFonts w:eastAsia="Times New Roman" w:cs="Times New Roman"/>
                <w:color w:val="000000"/>
                <w:kern w:val="0"/>
                <w:sz w:val="20"/>
                <w:szCs w:val="20"/>
                <w:lang w:val="uk-UA" w:eastAsia="uk-UA"/>
                <w14:ligatures w14:val="none"/>
              </w:rPr>
              <w:t>38.07565</w:t>
            </w:r>
          </w:p>
        </w:tc>
      </w:tr>
      <w:tr w:rsidR="00B83176" w:rsidRPr="00B83176" w14:paraId="7C06CB8C" w14:textId="77777777" w:rsidTr="00ED72E6">
        <w:trPr>
          <w:trHeight w:val="60"/>
        </w:trPr>
        <w:tc>
          <w:tcPr>
            <w:tcW w:w="139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817DC70" w14:textId="77777777" w:rsidR="00B83176" w:rsidRPr="00B83176" w:rsidRDefault="00B83176" w:rsidP="00B83176">
            <w:pPr>
              <w:widowControl w:val="0"/>
              <w:tabs>
                <w:tab w:val="right" w:pos="6350"/>
              </w:tabs>
              <w:suppressAutoHyphens/>
              <w:autoSpaceDE w:val="0"/>
              <w:autoSpaceDN w:val="0"/>
              <w:adjustRightInd w:val="0"/>
              <w:spacing w:after="0" w:line="257" w:lineRule="auto"/>
              <w:textAlignment w:val="center"/>
              <w:rPr>
                <w:rFonts w:eastAsia="Times New Roman" w:cs="Times New Roman"/>
                <w:color w:val="000000"/>
                <w:kern w:val="0"/>
                <w:sz w:val="20"/>
                <w:szCs w:val="20"/>
                <w:lang w:val="en-US" w:eastAsia="uk-UA"/>
                <w14:ligatures w14:val="none"/>
              </w:rPr>
            </w:pPr>
            <w:r w:rsidRPr="00B83176">
              <w:rPr>
                <w:rFonts w:eastAsia="Times New Roman" w:cs="Times New Roman"/>
                <w:color w:val="000000"/>
                <w:kern w:val="0"/>
                <w:sz w:val="20"/>
                <w:szCs w:val="20"/>
                <w:lang w:val="en-US" w:eastAsia="uk-UA"/>
                <w14:ligatures w14:val="none"/>
              </w:rPr>
              <w:t>Полосухін Олександр Володимирович</w:t>
            </w:r>
          </w:p>
        </w:tc>
        <w:tc>
          <w:tcPr>
            <w:tcW w:w="553"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670962B"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uk-UA" w:eastAsia="uk-UA"/>
                <w14:ligatures w14:val="none"/>
              </w:rPr>
            </w:pPr>
            <w:r w:rsidRPr="00B83176">
              <w:rPr>
                <w:rFonts w:eastAsia="Times New Roman" w:cs="Times New Roman"/>
                <w:color w:val="000000"/>
                <w:kern w:val="0"/>
                <w:sz w:val="20"/>
                <w:szCs w:val="20"/>
                <w:lang w:val="uk-UA" w:eastAsia="uk-UA"/>
                <w14:ligatures w14:val="none"/>
              </w:rPr>
              <w:t>3087503018</w:t>
            </w:r>
          </w:p>
        </w:tc>
        <w:tc>
          <w:tcPr>
            <w:tcW w:w="55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83DD586"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uk-UA" w:eastAsia="uk-UA"/>
                <w14:ligatures w14:val="none"/>
              </w:rPr>
            </w:pPr>
            <w:r w:rsidRPr="00B83176">
              <w:rPr>
                <w:rFonts w:eastAsia="Times New Roman" w:cs="Times New Roman"/>
                <w:color w:val="000000"/>
                <w:kern w:val="0"/>
                <w:sz w:val="20"/>
                <w:szCs w:val="20"/>
                <w:lang w:val="uk-UA" w:eastAsia="uk-UA"/>
                <w14:ligatures w14:val="none"/>
              </w:rPr>
              <w:t>д/н</w:t>
            </w:r>
          </w:p>
        </w:tc>
        <w:tc>
          <w:tcPr>
            <w:tcW w:w="994"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73550B7"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uk-UA" w:eastAsia="uk-UA"/>
                <w14:ligatures w14:val="none"/>
              </w:rPr>
            </w:pPr>
            <w:r w:rsidRPr="00B83176">
              <w:rPr>
                <w:rFonts w:eastAsia="Times New Roman" w:cs="Times New Roman"/>
                <w:color w:val="000000"/>
                <w:kern w:val="0"/>
                <w:sz w:val="20"/>
                <w:szCs w:val="20"/>
                <w:lang w:val="uk-UA" w:eastAsia="uk-UA"/>
                <w14:ligatures w14:val="none"/>
              </w:rPr>
              <w:t>2112248</w:t>
            </w:r>
          </w:p>
        </w:tc>
        <w:tc>
          <w:tcPr>
            <w:tcW w:w="150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36670EC"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uk-UA" w:eastAsia="uk-UA"/>
                <w14:ligatures w14:val="none"/>
              </w:rPr>
            </w:pPr>
            <w:r w:rsidRPr="00B83176">
              <w:rPr>
                <w:rFonts w:eastAsia="Times New Roman" w:cs="Times New Roman"/>
                <w:color w:val="000000"/>
                <w:kern w:val="0"/>
                <w:sz w:val="20"/>
                <w:szCs w:val="20"/>
                <w:lang w:val="uk-UA" w:eastAsia="uk-UA"/>
                <w14:ligatures w14:val="none"/>
              </w:rPr>
              <w:t>38.07563</w:t>
            </w:r>
          </w:p>
        </w:tc>
      </w:tr>
      <w:tr w:rsidR="00B83176" w:rsidRPr="00B83176" w14:paraId="07B55BD6" w14:textId="77777777" w:rsidTr="00ED72E6">
        <w:trPr>
          <w:trHeight w:val="60"/>
        </w:trPr>
        <w:tc>
          <w:tcPr>
            <w:tcW w:w="139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BBBB472" w14:textId="77777777" w:rsidR="00B83176" w:rsidRPr="00B83176" w:rsidRDefault="00B83176" w:rsidP="00B83176">
            <w:pPr>
              <w:widowControl w:val="0"/>
              <w:tabs>
                <w:tab w:val="right" w:pos="6350"/>
              </w:tabs>
              <w:suppressAutoHyphens/>
              <w:autoSpaceDE w:val="0"/>
              <w:autoSpaceDN w:val="0"/>
              <w:adjustRightInd w:val="0"/>
              <w:spacing w:after="0" w:line="257" w:lineRule="auto"/>
              <w:textAlignment w:val="center"/>
              <w:rPr>
                <w:rFonts w:eastAsia="Times New Roman" w:cs="Times New Roman"/>
                <w:color w:val="000000"/>
                <w:kern w:val="0"/>
                <w:sz w:val="20"/>
                <w:szCs w:val="20"/>
                <w:lang w:val="en-US" w:eastAsia="uk-UA"/>
                <w14:ligatures w14:val="none"/>
              </w:rPr>
            </w:pPr>
            <w:r w:rsidRPr="00B83176">
              <w:rPr>
                <w:rFonts w:eastAsia="Times New Roman" w:cs="Times New Roman"/>
                <w:color w:val="000000"/>
                <w:kern w:val="0"/>
                <w:sz w:val="20"/>
                <w:szCs w:val="20"/>
                <w:lang w:val="en-US" w:eastAsia="uk-UA"/>
                <w14:ligatures w14:val="none"/>
              </w:rPr>
              <w:t>Зоря Яків Семенович</w:t>
            </w:r>
          </w:p>
        </w:tc>
        <w:tc>
          <w:tcPr>
            <w:tcW w:w="553"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B06332F"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uk-UA" w:eastAsia="uk-UA"/>
                <w14:ligatures w14:val="none"/>
              </w:rPr>
            </w:pPr>
            <w:r w:rsidRPr="00B83176">
              <w:rPr>
                <w:rFonts w:eastAsia="Times New Roman" w:cs="Times New Roman"/>
                <w:color w:val="000000"/>
                <w:kern w:val="0"/>
                <w:sz w:val="20"/>
                <w:szCs w:val="20"/>
                <w:lang w:val="uk-UA" w:eastAsia="uk-UA"/>
                <w14:ligatures w14:val="none"/>
              </w:rPr>
              <w:t>1446509276</w:t>
            </w:r>
          </w:p>
        </w:tc>
        <w:tc>
          <w:tcPr>
            <w:tcW w:w="55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17E66DA4"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uk-UA" w:eastAsia="uk-UA"/>
                <w14:ligatures w14:val="none"/>
              </w:rPr>
            </w:pPr>
            <w:r w:rsidRPr="00B83176">
              <w:rPr>
                <w:rFonts w:eastAsia="Times New Roman" w:cs="Times New Roman"/>
                <w:color w:val="000000"/>
                <w:kern w:val="0"/>
                <w:sz w:val="20"/>
                <w:szCs w:val="20"/>
                <w:lang w:val="uk-UA" w:eastAsia="uk-UA"/>
                <w14:ligatures w14:val="none"/>
              </w:rPr>
              <w:t>д/н</w:t>
            </w:r>
          </w:p>
        </w:tc>
        <w:tc>
          <w:tcPr>
            <w:tcW w:w="994"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E08DEB4"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uk-UA" w:eastAsia="uk-UA"/>
                <w14:ligatures w14:val="none"/>
              </w:rPr>
            </w:pPr>
            <w:r w:rsidRPr="00B83176">
              <w:rPr>
                <w:rFonts w:eastAsia="Times New Roman" w:cs="Times New Roman"/>
                <w:color w:val="000000"/>
                <w:kern w:val="0"/>
                <w:sz w:val="20"/>
                <w:szCs w:val="20"/>
                <w:lang w:val="uk-UA" w:eastAsia="uk-UA"/>
                <w14:ligatures w14:val="none"/>
              </w:rPr>
              <w:t>499632</w:t>
            </w:r>
          </w:p>
        </w:tc>
        <w:tc>
          <w:tcPr>
            <w:tcW w:w="1502"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5548D16"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0"/>
                <w:lang w:val="uk-UA" w:eastAsia="uk-UA"/>
                <w14:ligatures w14:val="none"/>
              </w:rPr>
            </w:pPr>
            <w:r w:rsidRPr="00B83176">
              <w:rPr>
                <w:rFonts w:eastAsia="Times New Roman" w:cs="Times New Roman"/>
                <w:color w:val="000000"/>
                <w:kern w:val="0"/>
                <w:sz w:val="20"/>
                <w:szCs w:val="20"/>
                <w:lang w:val="uk-UA" w:eastAsia="uk-UA"/>
                <w14:ligatures w14:val="none"/>
              </w:rPr>
              <w:t>9.00642</w:t>
            </w:r>
          </w:p>
        </w:tc>
      </w:tr>
    </w:tbl>
    <w:p w14:paraId="5390E839" w14:textId="77777777" w:rsidR="00B83176" w:rsidRPr="00B83176" w:rsidRDefault="00B83176" w:rsidP="00B83176">
      <w:pPr>
        <w:spacing w:line="259" w:lineRule="auto"/>
        <w:rPr>
          <w:rFonts w:ascii="Calibri" w:eastAsia="Times New Roman" w:hAnsi="Calibri" w:cs="Times New Roman"/>
          <w:kern w:val="0"/>
          <w:sz w:val="22"/>
          <w:lang w:val="uk-UA" w:eastAsia="uk-UA"/>
          <w14:ligatures w14:val="none"/>
        </w:rPr>
      </w:pPr>
    </w:p>
    <w:p w14:paraId="3DEE1E04" w14:textId="77777777" w:rsidR="00B83176" w:rsidRPr="00B83176" w:rsidRDefault="00B83176" w:rsidP="00B83176">
      <w:pPr>
        <w:keepNext/>
        <w:keepLines/>
        <w:widowControl w:val="0"/>
        <w:tabs>
          <w:tab w:val="right" w:pos="7710"/>
        </w:tabs>
        <w:suppressAutoHyphens/>
        <w:autoSpaceDE w:val="0"/>
        <w:autoSpaceDN w:val="0"/>
        <w:adjustRightInd w:val="0"/>
        <w:spacing w:before="170" w:after="57" w:line="257" w:lineRule="auto"/>
        <w:textAlignment w:val="center"/>
        <w:rPr>
          <w:rFonts w:eastAsia="Times New Roman" w:cs="Times New Roman"/>
          <w:b/>
          <w:bCs/>
          <w:color w:val="000000"/>
          <w:kern w:val="0"/>
          <w:sz w:val="24"/>
          <w:szCs w:val="24"/>
          <w:lang w:val="uk-UA" w:eastAsia="uk-UA"/>
          <w14:ligatures w14:val="none"/>
        </w:rPr>
      </w:pPr>
      <w:r w:rsidRPr="00B83176">
        <w:rPr>
          <w:rFonts w:eastAsia="Times New Roman" w:cs="Times New Roman"/>
          <w:b/>
          <w:bCs/>
          <w:color w:val="000000"/>
          <w:kern w:val="0"/>
          <w:sz w:val="24"/>
          <w:szCs w:val="24"/>
          <w:lang w:val="uk-UA" w:eastAsia="uk-UA"/>
          <w14:ligatures w14:val="none"/>
        </w:rPr>
        <w:t>Частина 10. Інформація щодо порядку призначення/звільнення посадових осіб (крім ради та виконавчого органу) особи</w:t>
      </w:r>
    </w:p>
    <w:tbl>
      <w:tblPr>
        <w:tblW w:w="5000" w:type="pct"/>
        <w:tblLayout w:type="fixed"/>
        <w:tblCellMar>
          <w:left w:w="0" w:type="dxa"/>
          <w:right w:w="0" w:type="dxa"/>
        </w:tblCellMar>
        <w:tblLook w:val="0000" w:firstRow="0" w:lastRow="0" w:firstColumn="0" w:lastColumn="0" w:noHBand="0" w:noVBand="0"/>
      </w:tblPr>
      <w:tblGrid>
        <w:gridCol w:w="3786"/>
        <w:gridCol w:w="1404"/>
        <w:gridCol w:w="1675"/>
        <w:gridCol w:w="3079"/>
        <w:gridCol w:w="3079"/>
        <w:gridCol w:w="3079"/>
      </w:tblGrid>
      <w:tr w:rsidR="00B83176" w:rsidRPr="00B83176" w14:paraId="50C17D06" w14:textId="77777777" w:rsidTr="00ED72E6">
        <w:trPr>
          <w:trHeight w:val="60"/>
        </w:trPr>
        <w:tc>
          <w:tcPr>
            <w:tcW w:w="1176"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3024489" w14:textId="77777777" w:rsidR="00B83176" w:rsidRPr="00B83176" w:rsidRDefault="00B83176" w:rsidP="00B83176">
            <w:pPr>
              <w:widowControl w:val="0"/>
              <w:tabs>
                <w:tab w:val="right" w:pos="6350"/>
              </w:tabs>
              <w:suppressAutoHyphens/>
              <w:autoSpaceDE w:val="0"/>
              <w:autoSpaceDN w:val="0"/>
              <w:adjustRightInd w:val="0"/>
              <w:spacing w:after="0" w:line="257" w:lineRule="auto"/>
              <w:textAlignment w:val="center"/>
              <w:rPr>
                <w:rFonts w:eastAsia="Times New Roman" w:cs="Times New Roman"/>
                <w:b/>
                <w:color w:val="000000"/>
                <w:kern w:val="0"/>
                <w:sz w:val="20"/>
                <w:szCs w:val="24"/>
                <w:lang w:val="uk-UA" w:eastAsia="uk-UA"/>
                <w14:ligatures w14:val="none"/>
              </w:rPr>
            </w:pPr>
            <w:r w:rsidRPr="00B83176">
              <w:rPr>
                <w:rFonts w:eastAsia="Times New Roman" w:cs="Times New Roman"/>
                <w:b/>
                <w:color w:val="000000"/>
                <w:kern w:val="0"/>
                <w:sz w:val="20"/>
                <w:szCs w:val="24"/>
                <w:lang w:val="en-US" w:eastAsia="uk-UA"/>
                <w14:ligatures w14:val="none"/>
              </w:rPr>
              <w:t xml:space="preserve">                    </w:t>
            </w:r>
            <w:r w:rsidRPr="00B83176">
              <w:rPr>
                <w:rFonts w:eastAsia="Times New Roman" w:cs="Times New Roman"/>
                <w:b/>
                <w:color w:val="000000"/>
                <w:kern w:val="0"/>
                <w:sz w:val="20"/>
                <w:szCs w:val="24"/>
                <w:lang w:val="uk-UA" w:eastAsia="uk-UA"/>
                <w14:ligatures w14:val="none"/>
              </w:rPr>
              <w:t xml:space="preserve">Ім’я посадової особи </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90C27BE"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4"/>
                <w:lang w:val="uk-UA" w:eastAsia="uk-UA"/>
                <w14:ligatures w14:val="none"/>
              </w:rPr>
            </w:pPr>
            <w:r w:rsidRPr="00B83176">
              <w:rPr>
                <w:rFonts w:eastAsia="Times New Roman" w:cs="Times New Roman"/>
                <w:b/>
                <w:color w:val="000000"/>
                <w:kern w:val="0"/>
                <w:sz w:val="20"/>
                <w:szCs w:val="24"/>
                <w:lang w:val="uk-UA" w:eastAsia="uk-UA"/>
                <w14:ligatures w14:val="none"/>
              </w:rPr>
              <w:t>РНОКПП</w:t>
            </w:r>
          </w:p>
        </w:tc>
        <w:tc>
          <w:tcPr>
            <w:tcW w:w="520"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25D7420"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4"/>
                <w:lang w:val="uk-UA" w:eastAsia="uk-UA"/>
                <w14:ligatures w14:val="none"/>
              </w:rPr>
            </w:pPr>
            <w:r w:rsidRPr="00B83176">
              <w:rPr>
                <w:rFonts w:eastAsia="Times New Roman" w:cs="Times New Roman"/>
                <w:b/>
                <w:color w:val="000000"/>
                <w:kern w:val="0"/>
                <w:sz w:val="20"/>
                <w:szCs w:val="24"/>
                <w:lang w:val="uk-UA" w:eastAsia="uk-UA"/>
                <w14:ligatures w14:val="none"/>
              </w:rPr>
              <w:t>УНЗР</w:t>
            </w:r>
          </w:p>
        </w:tc>
        <w:tc>
          <w:tcPr>
            <w:tcW w:w="956"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63CA9C4"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4"/>
                <w:lang w:val="uk-UA" w:eastAsia="uk-UA"/>
                <w14:ligatures w14:val="none"/>
              </w:rPr>
            </w:pPr>
            <w:r w:rsidRPr="00B83176">
              <w:rPr>
                <w:rFonts w:eastAsia="Times New Roman" w:cs="Times New Roman"/>
                <w:b/>
                <w:color w:val="000000"/>
                <w:kern w:val="0"/>
                <w:sz w:val="20"/>
                <w:szCs w:val="24"/>
                <w:lang w:val="uk-UA" w:eastAsia="uk-UA"/>
                <w14:ligatures w14:val="none"/>
              </w:rPr>
              <w:t xml:space="preserve">Назва посади, </w:t>
            </w:r>
            <w:r w:rsidRPr="00B83176">
              <w:rPr>
                <w:rFonts w:eastAsia="Times New Roman" w:cs="Times New Roman"/>
                <w:b/>
                <w:color w:val="000000"/>
                <w:kern w:val="0"/>
                <w:sz w:val="20"/>
                <w:szCs w:val="24"/>
                <w:lang w:val="uk-UA" w:eastAsia="uk-UA"/>
                <w14:ligatures w14:val="none"/>
              </w:rPr>
              <w:br/>
              <w:t xml:space="preserve">назва органу, </w:t>
            </w:r>
            <w:r w:rsidRPr="00B83176">
              <w:rPr>
                <w:rFonts w:eastAsia="Times New Roman" w:cs="Times New Roman"/>
                <w:b/>
                <w:color w:val="000000"/>
                <w:kern w:val="0"/>
                <w:sz w:val="20"/>
                <w:szCs w:val="24"/>
                <w:lang w:val="uk-UA" w:eastAsia="uk-UA"/>
                <w14:ligatures w14:val="none"/>
              </w:rPr>
              <w:br/>
              <w:t xml:space="preserve">який прийняв рішення про призначення посадової особи, дата та номер рішення </w:t>
            </w:r>
          </w:p>
        </w:tc>
        <w:tc>
          <w:tcPr>
            <w:tcW w:w="956"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1049C29C"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4"/>
                <w:lang w:val="uk-UA" w:eastAsia="uk-UA"/>
                <w14:ligatures w14:val="none"/>
              </w:rPr>
            </w:pPr>
            <w:r w:rsidRPr="00B83176">
              <w:rPr>
                <w:rFonts w:eastAsia="Times New Roman" w:cs="Times New Roman"/>
                <w:b/>
                <w:color w:val="000000"/>
                <w:kern w:val="0"/>
                <w:sz w:val="20"/>
                <w:szCs w:val="24"/>
                <w:lang w:val="uk-UA" w:eastAsia="uk-UA"/>
                <w14:ligatures w14:val="none"/>
              </w:rPr>
              <w:t>Опис ключових повноважень посадової особи</w:t>
            </w:r>
          </w:p>
        </w:tc>
        <w:tc>
          <w:tcPr>
            <w:tcW w:w="956"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8BB9EA1"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b/>
                <w:color w:val="000000"/>
                <w:kern w:val="0"/>
                <w:sz w:val="20"/>
                <w:szCs w:val="24"/>
                <w:lang w:val="uk-UA" w:eastAsia="uk-UA"/>
                <w14:ligatures w14:val="none"/>
              </w:rPr>
            </w:pPr>
            <w:r w:rsidRPr="00B83176">
              <w:rPr>
                <w:rFonts w:eastAsia="Times New Roman" w:cs="Times New Roman"/>
                <w:b/>
                <w:color w:val="000000"/>
                <w:kern w:val="0"/>
                <w:sz w:val="20"/>
                <w:szCs w:val="24"/>
                <w:lang w:val="uk-UA" w:eastAsia="uk-UA"/>
                <w14:ligatures w14:val="none"/>
              </w:rPr>
              <w:t>Порядок призначення та звільнення посадової особи</w:t>
            </w:r>
          </w:p>
        </w:tc>
      </w:tr>
      <w:tr w:rsidR="00B83176" w:rsidRPr="00B83176" w14:paraId="2A77B2C1" w14:textId="77777777" w:rsidTr="00ED72E6">
        <w:trPr>
          <w:trHeight w:val="60"/>
        </w:trPr>
        <w:tc>
          <w:tcPr>
            <w:tcW w:w="1176"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9E636CF" w14:textId="77777777" w:rsidR="00B83176" w:rsidRPr="00B83176" w:rsidRDefault="00B83176" w:rsidP="00B83176">
            <w:pPr>
              <w:widowControl w:val="0"/>
              <w:tabs>
                <w:tab w:val="right" w:pos="6350"/>
              </w:tabs>
              <w:suppressAutoHyphens/>
              <w:autoSpaceDE w:val="0"/>
              <w:autoSpaceDN w:val="0"/>
              <w:adjustRightInd w:val="0"/>
              <w:spacing w:after="0" w:line="257" w:lineRule="auto"/>
              <w:textAlignment w:val="center"/>
              <w:rPr>
                <w:rFonts w:eastAsia="Times New Roman" w:cs="Times New Roman"/>
                <w:color w:val="000000"/>
                <w:kern w:val="0"/>
                <w:sz w:val="20"/>
                <w:szCs w:val="24"/>
                <w:lang w:val="en-US" w:eastAsia="uk-UA"/>
                <w14:ligatures w14:val="none"/>
              </w:rPr>
            </w:pPr>
            <w:r w:rsidRPr="00B83176">
              <w:rPr>
                <w:rFonts w:eastAsia="Times New Roman" w:cs="Times New Roman"/>
                <w:color w:val="000000"/>
                <w:kern w:val="0"/>
                <w:sz w:val="20"/>
                <w:szCs w:val="24"/>
                <w:lang w:val="en-US" w:eastAsia="uk-UA"/>
                <w14:ligatures w14:val="none"/>
              </w:rPr>
              <w:t>Чупринина Яна Геннадієвна</w:t>
            </w:r>
          </w:p>
        </w:tc>
        <w:tc>
          <w:tcPr>
            <w:tcW w:w="436"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7FD15EB0"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4"/>
                <w:lang w:val="uk-UA" w:eastAsia="uk-UA"/>
                <w14:ligatures w14:val="none"/>
              </w:rPr>
            </w:pPr>
            <w:r w:rsidRPr="00B83176">
              <w:rPr>
                <w:rFonts w:eastAsia="Times New Roman" w:cs="Times New Roman"/>
                <w:color w:val="000000"/>
                <w:kern w:val="0"/>
                <w:sz w:val="20"/>
                <w:szCs w:val="24"/>
                <w:lang w:val="uk-UA" w:eastAsia="uk-UA"/>
                <w14:ligatures w14:val="none"/>
              </w:rPr>
              <w:t>2855907542</w:t>
            </w:r>
          </w:p>
        </w:tc>
        <w:tc>
          <w:tcPr>
            <w:tcW w:w="520"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1E2A8EAF"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4"/>
                <w:lang w:val="uk-UA" w:eastAsia="uk-UA"/>
                <w14:ligatures w14:val="none"/>
              </w:rPr>
            </w:pPr>
          </w:p>
        </w:tc>
        <w:tc>
          <w:tcPr>
            <w:tcW w:w="956"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61B09614"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4"/>
                <w:lang w:val="uk-UA" w:eastAsia="uk-UA"/>
                <w14:ligatures w14:val="none"/>
              </w:rPr>
            </w:pPr>
            <w:r w:rsidRPr="00B83176">
              <w:rPr>
                <w:rFonts w:eastAsia="Times New Roman" w:cs="Times New Roman"/>
                <w:color w:val="000000"/>
                <w:kern w:val="0"/>
                <w:sz w:val="20"/>
                <w:szCs w:val="24"/>
                <w:lang w:val="uk-UA" w:eastAsia="uk-UA"/>
                <w14:ligatures w14:val="none"/>
              </w:rPr>
              <w:t>Головний бухгалтер. Головним бухгалтером призначена на невизначений термiн, за наказом № 28-к вiд 28.02.2013р.</w:t>
            </w:r>
          </w:p>
        </w:tc>
        <w:tc>
          <w:tcPr>
            <w:tcW w:w="956"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4E7A7A8C"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4"/>
                <w:lang w:val="uk-UA" w:eastAsia="uk-UA"/>
                <w14:ligatures w14:val="none"/>
              </w:rPr>
            </w:pPr>
            <w:r w:rsidRPr="00B83176">
              <w:rPr>
                <w:rFonts w:eastAsia="Times New Roman" w:cs="Times New Roman"/>
                <w:color w:val="000000"/>
                <w:kern w:val="0"/>
                <w:sz w:val="20"/>
                <w:szCs w:val="24"/>
                <w:lang w:val="uk-UA" w:eastAsia="uk-UA"/>
                <w14:ligatures w14:val="none"/>
              </w:rPr>
              <w:t>Опис</w:t>
            </w:r>
            <w:r w:rsidRPr="00B83176">
              <w:rPr>
                <w:rFonts w:eastAsia="Times New Roman" w:cs="Times New Roman"/>
                <w:color w:val="000000"/>
                <w:kern w:val="0"/>
                <w:sz w:val="20"/>
                <w:szCs w:val="24"/>
                <w:lang w:val="uk-UA" w:eastAsia="uk-UA"/>
                <w14:ligatures w14:val="none"/>
              </w:rPr>
              <w:tab/>
              <w:t>Головний бухгалтер Чупринiна Яна Геннадiївна.</w:t>
            </w:r>
          </w:p>
          <w:p w14:paraId="4BBC1B4F"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4"/>
                <w:lang w:val="uk-UA" w:eastAsia="uk-UA"/>
                <w14:ligatures w14:val="none"/>
              </w:rPr>
            </w:pPr>
            <w:r w:rsidRPr="00B83176">
              <w:rPr>
                <w:rFonts w:eastAsia="Times New Roman" w:cs="Times New Roman"/>
                <w:color w:val="000000"/>
                <w:kern w:val="0"/>
                <w:sz w:val="20"/>
                <w:szCs w:val="24"/>
                <w:lang w:val="uk-UA" w:eastAsia="uk-UA"/>
                <w14:ligatures w14:val="none"/>
              </w:rPr>
              <w:t>Iншi посади, якi обiймала протягом останніх п'яти років:</w:t>
            </w:r>
          </w:p>
          <w:p w14:paraId="0A70865C"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4"/>
                <w:lang w:val="uk-UA" w:eastAsia="uk-UA"/>
                <w14:ligatures w14:val="none"/>
              </w:rPr>
            </w:pPr>
            <w:r w:rsidRPr="00B83176">
              <w:rPr>
                <w:rFonts w:eastAsia="Times New Roman" w:cs="Times New Roman"/>
                <w:color w:val="000000"/>
                <w:kern w:val="0"/>
                <w:sz w:val="20"/>
                <w:szCs w:val="24"/>
                <w:lang w:val="uk-UA" w:eastAsia="uk-UA"/>
                <w14:ligatures w14:val="none"/>
              </w:rPr>
              <w:t>- головний бухгалтер ПАТ "Завод "Часiвоярськi автобуси" з 28.02.2013 р;</w:t>
            </w:r>
          </w:p>
          <w:p w14:paraId="19DF370A"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4"/>
                <w:lang w:val="uk-UA" w:eastAsia="uk-UA"/>
                <w14:ligatures w14:val="none"/>
              </w:rPr>
            </w:pPr>
            <w:r w:rsidRPr="00B83176">
              <w:rPr>
                <w:rFonts w:eastAsia="Times New Roman" w:cs="Times New Roman"/>
                <w:color w:val="000000"/>
                <w:kern w:val="0"/>
                <w:sz w:val="20"/>
                <w:szCs w:val="24"/>
                <w:lang w:val="uk-UA" w:eastAsia="uk-UA"/>
                <w14:ligatures w14:val="none"/>
              </w:rPr>
              <w:t xml:space="preserve">- головний бухгалтер ПрАТ "Завод "Часiвоярськi автобуси" </w:t>
            </w:r>
          </w:p>
          <w:p w14:paraId="234F3647"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4"/>
                <w:lang w:val="uk-UA" w:eastAsia="uk-UA"/>
                <w14:ligatures w14:val="none"/>
              </w:rPr>
            </w:pPr>
            <w:r w:rsidRPr="00B83176">
              <w:rPr>
                <w:rFonts w:eastAsia="Times New Roman" w:cs="Times New Roman"/>
                <w:color w:val="000000"/>
                <w:kern w:val="0"/>
                <w:sz w:val="20"/>
                <w:szCs w:val="24"/>
                <w:lang w:val="uk-UA" w:eastAsia="uk-UA"/>
                <w14:ligatures w14:val="none"/>
              </w:rPr>
              <w:t xml:space="preserve"> Головним бухгалтером призначена на невизначений термiн, за наказом № 28-к вiд 28.02.2013р. Акцiями Товариства не володiє. Змiн  в персональному складi протягом року не було, непогашеної судимостi за корисливi та посадовi злочини  немає.</w:t>
            </w:r>
          </w:p>
          <w:p w14:paraId="30E20BC0"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4"/>
                <w:lang w:val="uk-UA" w:eastAsia="uk-UA"/>
                <w14:ligatures w14:val="none"/>
              </w:rPr>
            </w:pPr>
            <w:r w:rsidRPr="00B83176">
              <w:rPr>
                <w:rFonts w:eastAsia="Times New Roman" w:cs="Times New Roman"/>
                <w:color w:val="000000"/>
                <w:kern w:val="0"/>
                <w:sz w:val="20"/>
                <w:szCs w:val="24"/>
                <w:lang w:val="uk-UA" w:eastAsia="uk-UA"/>
                <w14:ligatures w14:val="none"/>
              </w:rPr>
              <w:t>Завдання та обов'язки, як головного бухгалтера</w:t>
            </w:r>
          </w:p>
          <w:p w14:paraId="6AE982F0"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4"/>
                <w:lang w:val="uk-UA" w:eastAsia="uk-UA"/>
                <w14:ligatures w14:val="none"/>
              </w:rPr>
            </w:pPr>
            <w:r w:rsidRPr="00B83176">
              <w:rPr>
                <w:rFonts w:eastAsia="Times New Roman" w:cs="Times New Roman"/>
                <w:color w:val="000000"/>
                <w:kern w:val="0"/>
                <w:sz w:val="20"/>
                <w:szCs w:val="24"/>
                <w:lang w:val="uk-UA" w:eastAsia="uk-UA"/>
                <w14:ligatures w14:val="none"/>
              </w:rPr>
              <w:lastRenderedPageBreak/>
              <w:t xml:space="preserve">Забезпечує ведення бухгалтерського обліку, дотримуючись єдиних методологічних засад, встановлених Законом України "Про бухгалтерський облік та фінансову звітність в Україні", з урахуванням особливостей діяльності підприємства і технології оброблення облікових даних. Організовує роботу бухгалтерської служби, контроль за відображенням на рахунках бухгалтерського обліку всіх господарських операцій. Вимагає від підрозділів, служб та працівників забезпечення неухильного дотримання порядку оформлення та подання до обліку первинних документів. Вживає всіх необхідних заходів для запобігання несанкціонованому та непомітному виправленню записів у первинних документах і регістрах бухгалтерського обліку та збереження оброблених документів, регістрів і звітності протягом встановленого терміну. Забезпечує складання на основі даних бухгалтерського обліку фінансової звітності підприємства, підписання її та подання в установлені строки користувачам. Здійснює заходи щодо надання повної, правдивої та неупередженої інформації про фінансовий стан, результати діяльності та рух коштів </w:t>
            </w:r>
            <w:r w:rsidRPr="00B83176">
              <w:rPr>
                <w:rFonts w:eastAsia="Times New Roman" w:cs="Times New Roman"/>
                <w:color w:val="000000"/>
                <w:kern w:val="0"/>
                <w:sz w:val="20"/>
                <w:szCs w:val="24"/>
                <w:lang w:val="uk-UA" w:eastAsia="uk-UA"/>
                <w14:ligatures w14:val="none"/>
              </w:rPr>
              <w:lastRenderedPageBreak/>
              <w:t xml:space="preserve">підприємства. Бере участь у підготовці та поданні інших видів періодичної звітності, які передбачають підпис головного бухгалтера, до органів вищого рівня у відповідності до нормативних актів, затвердженими формами та інструкціями. За погодженням з власником (керівником) підприємства забезпечує перерахування податків та зборів, передбачених законодавством, проводить розрахунки з іншими кредиторами відповідно до договірних зобов'язань. Здійснює контроль за веденням касових операцій, раціональним та ефективним використанням матеріальних, трудових та фінансових ресурсів. Бере участь у проведенні інвентаризаційної роботи на підприємстві, оформленні матеріалів, пов'язаних із нестачею та відшкодуванням втрат від нестачі, крадіжки і псування активів підприємства. Забезпечує перевірку стану бухгалтерського обліку у філіях, представництвах, відділеннях та інших відокремлених підрозділах. Організовує роботу з підготовки пропозицій для власника (керівника) підприємства щодо: </w:t>
            </w:r>
          </w:p>
          <w:p w14:paraId="1B512840"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4"/>
                <w:lang w:val="uk-UA" w:eastAsia="uk-UA"/>
                <w14:ligatures w14:val="none"/>
              </w:rPr>
            </w:pPr>
            <w:r w:rsidRPr="00B83176">
              <w:rPr>
                <w:rFonts w:eastAsia="Times New Roman" w:cs="Times New Roman"/>
                <w:color w:val="000000"/>
                <w:kern w:val="0"/>
                <w:sz w:val="20"/>
                <w:szCs w:val="24"/>
                <w:lang w:val="uk-UA" w:eastAsia="uk-UA"/>
                <w14:ligatures w14:val="none"/>
              </w:rPr>
              <w:t xml:space="preserve">визначення облікової політики підприємства, внесення змін до обраної облікової політики, вибору форми бухгалтерського </w:t>
            </w:r>
            <w:r w:rsidRPr="00B83176">
              <w:rPr>
                <w:rFonts w:eastAsia="Times New Roman" w:cs="Times New Roman"/>
                <w:color w:val="000000"/>
                <w:kern w:val="0"/>
                <w:sz w:val="20"/>
                <w:szCs w:val="24"/>
                <w:lang w:val="uk-UA" w:eastAsia="uk-UA"/>
                <w14:ligatures w14:val="none"/>
              </w:rPr>
              <w:lastRenderedPageBreak/>
              <w:t xml:space="preserve">обліку з урахуванням діяльності підприємства і технології оброблення облікових даних; </w:t>
            </w:r>
          </w:p>
          <w:p w14:paraId="1381EADB"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4"/>
                <w:lang w:val="uk-UA" w:eastAsia="uk-UA"/>
                <w14:ligatures w14:val="none"/>
              </w:rPr>
            </w:pPr>
            <w:r w:rsidRPr="00B83176">
              <w:rPr>
                <w:rFonts w:eastAsia="Times New Roman" w:cs="Times New Roman"/>
                <w:color w:val="000000"/>
                <w:kern w:val="0"/>
                <w:sz w:val="20"/>
                <w:szCs w:val="24"/>
                <w:lang w:val="uk-UA" w:eastAsia="uk-UA"/>
                <w14:ligatures w14:val="none"/>
              </w:rPr>
              <w:t xml:space="preserve">розроблення систем і форм внутрішньогосподарського (управлінського) обліку та правил документообігу, додаткової системи рахунків і регістрів аналітичного обліку, звітності і контролю господарських операцій; </w:t>
            </w:r>
          </w:p>
          <w:p w14:paraId="7A1B9199"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4"/>
                <w:lang w:val="uk-UA" w:eastAsia="uk-UA"/>
                <w14:ligatures w14:val="none"/>
              </w:rPr>
            </w:pPr>
            <w:r w:rsidRPr="00B83176">
              <w:rPr>
                <w:rFonts w:eastAsia="Times New Roman" w:cs="Times New Roman"/>
                <w:color w:val="000000"/>
                <w:kern w:val="0"/>
                <w:sz w:val="20"/>
                <w:szCs w:val="24"/>
                <w:lang w:val="uk-UA" w:eastAsia="uk-UA"/>
                <w14:ligatures w14:val="none"/>
              </w:rPr>
              <w:t xml:space="preserve">визначення прав працівників на підписання первинних та зведених облікових документів; </w:t>
            </w:r>
          </w:p>
          <w:p w14:paraId="0EAD83B6"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4"/>
                <w:lang w:val="uk-UA" w:eastAsia="uk-UA"/>
                <w14:ligatures w14:val="none"/>
              </w:rPr>
            </w:pPr>
            <w:r w:rsidRPr="00B83176">
              <w:rPr>
                <w:rFonts w:eastAsia="Times New Roman" w:cs="Times New Roman"/>
                <w:color w:val="000000"/>
                <w:kern w:val="0"/>
                <w:sz w:val="20"/>
                <w:szCs w:val="24"/>
                <w:lang w:val="uk-UA" w:eastAsia="uk-UA"/>
                <w14:ligatures w14:val="none"/>
              </w:rPr>
              <w:t xml:space="preserve">вибору оптимальної структури бухгалтерської служби та чисельності її працівників, підвищення професійного рівня бухгалтерів, забезпечення їх довідковими матеріалами; </w:t>
            </w:r>
          </w:p>
          <w:p w14:paraId="31A28A9A"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4"/>
                <w:lang w:val="uk-UA" w:eastAsia="uk-UA"/>
                <w14:ligatures w14:val="none"/>
              </w:rPr>
            </w:pPr>
            <w:r w:rsidRPr="00B83176">
              <w:rPr>
                <w:rFonts w:eastAsia="Times New Roman" w:cs="Times New Roman"/>
                <w:color w:val="000000"/>
                <w:kern w:val="0"/>
                <w:sz w:val="20"/>
                <w:szCs w:val="24"/>
                <w:lang w:val="uk-UA" w:eastAsia="uk-UA"/>
                <w14:ligatures w14:val="none"/>
              </w:rPr>
              <w:t xml:space="preserve">поліпшення системи інформаційного забезпечення управління та шляхів проходження обробленої інформації до виконавців; </w:t>
            </w:r>
          </w:p>
          <w:p w14:paraId="43ABF33D"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4"/>
                <w:lang w:val="uk-UA" w:eastAsia="uk-UA"/>
                <w14:ligatures w14:val="none"/>
              </w:rPr>
            </w:pPr>
            <w:r w:rsidRPr="00B83176">
              <w:rPr>
                <w:rFonts w:eastAsia="Times New Roman" w:cs="Times New Roman"/>
                <w:color w:val="000000"/>
                <w:kern w:val="0"/>
                <w:sz w:val="20"/>
                <w:szCs w:val="24"/>
                <w:lang w:val="uk-UA" w:eastAsia="uk-UA"/>
                <w14:ligatures w14:val="none"/>
              </w:rPr>
              <w:t xml:space="preserve">впровадження автоматизованої системи оброблення даних бухгалтерського обліку з урахуванням особливостей діяльності підприємства чи удосконалення діючої; </w:t>
            </w:r>
          </w:p>
          <w:p w14:paraId="369F34F7"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4"/>
                <w:lang w:val="uk-UA" w:eastAsia="uk-UA"/>
                <w14:ligatures w14:val="none"/>
              </w:rPr>
            </w:pPr>
            <w:r w:rsidRPr="00B83176">
              <w:rPr>
                <w:rFonts w:eastAsia="Times New Roman" w:cs="Times New Roman"/>
                <w:color w:val="000000"/>
                <w:kern w:val="0"/>
                <w:sz w:val="20"/>
                <w:szCs w:val="24"/>
                <w:lang w:val="uk-UA" w:eastAsia="uk-UA"/>
                <w14:ligatures w14:val="none"/>
              </w:rPr>
              <w:t xml:space="preserve">забезпечення збереження майна, раціонального та ефективного використання матеріалів, трудових та фінансових ресурсів, залучення кредитів та їх погашення; </w:t>
            </w:r>
          </w:p>
          <w:p w14:paraId="14BFBE5A"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4"/>
                <w:lang w:val="uk-UA" w:eastAsia="uk-UA"/>
                <w14:ligatures w14:val="none"/>
              </w:rPr>
            </w:pPr>
            <w:r w:rsidRPr="00B83176">
              <w:rPr>
                <w:rFonts w:eastAsia="Times New Roman" w:cs="Times New Roman"/>
                <w:color w:val="000000"/>
                <w:kern w:val="0"/>
                <w:sz w:val="20"/>
                <w:szCs w:val="24"/>
                <w:lang w:val="uk-UA" w:eastAsia="uk-UA"/>
                <w14:ligatures w14:val="none"/>
              </w:rPr>
              <w:t xml:space="preserve">виділення на окремий баланс </w:t>
            </w:r>
            <w:r w:rsidRPr="00B83176">
              <w:rPr>
                <w:rFonts w:eastAsia="Times New Roman" w:cs="Times New Roman"/>
                <w:color w:val="000000"/>
                <w:kern w:val="0"/>
                <w:sz w:val="20"/>
                <w:szCs w:val="24"/>
                <w:lang w:val="uk-UA" w:eastAsia="uk-UA"/>
                <w14:ligatures w14:val="none"/>
              </w:rPr>
              <w:lastRenderedPageBreak/>
              <w:t xml:space="preserve">філій, представництв, відділень та інших відокремлених підрозділів підприємства та включення їх показників до фінансової звітності підприємства. </w:t>
            </w:r>
          </w:p>
          <w:p w14:paraId="1AF63546"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4"/>
                <w:lang w:val="uk-UA" w:eastAsia="uk-UA"/>
                <w14:ligatures w14:val="none"/>
              </w:rPr>
            </w:pPr>
            <w:r w:rsidRPr="00B83176">
              <w:rPr>
                <w:rFonts w:eastAsia="Times New Roman" w:cs="Times New Roman"/>
                <w:color w:val="000000"/>
                <w:kern w:val="0"/>
                <w:sz w:val="20"/>
                <w:szCs w:val="24"/>
                <w:lang w:val="uk-UA" w:eastAsia="uk-UA"/>
                <w14:ligatures w14:val="none"/>
              </w:rPr>
              <w:t xml:space="preserve">Керує працівниками бухгалтерського обліку підприємства та розподіляє між ними посадові завдання та обов'язки. Знайомить цих працівників із нормативно-методичними документами та інформаційними матеріалами, які стосуються їх діяльності, а також із змінами в чинному законодавстві. </w:t>
            </w:r>
          </w:p>
          <w:p w14:paraId="72668935"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4"/>
                <w:lang w:val="uk-UA" w:eastAsia="uk-UA"/>
                <w14:ligatures w14:val="none"/>
              </w:rPr>
            </w:pPr>
            <w:r w:rsidRPr="00B83176">
              <w:rPr>
                <w:rFonts w:eastAsia="Times New Roman" w:cs="Times New Roman"/>
                <w:color w:val="000000"/>
                <w:kern w:val="0"/>
                <w:sz w:val="20"/>
                <w:szCs w:val="24"/>
                <w:lang w:val="uk-UA" w:eastAsia="uk-UA"/>
                <w14:ligatures w14:val="none"/>
              </w:rPr>
              <w:t xml:space="preserve">Повинен знати: закони України; Укази Президента України, постанови, розпорядження, рішення Кабінету Міністрів України, Національного банку України, Державної податкової адміністрації України з питань правових засад регулювання господарської діяльності підприємства, положення (стандарти) бухгалтерського обліку та інші нормативно-правові акти Міністерства фінансів України щодо порядку ведення бухгалтерського обліку та складання фінансової звітності, а також методичні документи міністерства та інших центральних органів виконавчої влади щодо галузевих особливостей застосування положень (стандартів) </w:t>
            </w:r>
            <w:r w:rsidRPr="00B83176">
              <w:rPr>
                <w:rFonts w:eastAsia="Times New Roman" w:cs="Times New Roman"/>
                <w:color w:val="000000"/>
                <w:kern w:val="0"/>
                <w:sz w:val="20"/>
                <w:szCs w:val="24"/>
                <w:lang w:val="uk-UA" w:eastAsia="uk-UA"/>
                <w14:ligatures w14:val="none"/>
              </w:rPr>
              <w:lastRenderedPageBreak/>
              <w:t xml:space="preserve">бухгалтерського обліку; основи технології виробництва продукції, порядок оформлення операцій і організацію документообігу за розділами обліку, форми та порядок розрахунків, порядок приймання, зарахування на баланс, зберігання і витрат коштів, товарно-матеріальних та інших цінностей; правила проведення інвентаризацій активів та зобов'язань; економіку, організацію виробництва, праці та управління; податкову справу; основи цивільного права; трудове, фінансове, господарське законодавство. </w:t>
            </w:r>
          </w:p>
          <w:p w14:paraId="62AA9ABB"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4"/>
                <w:lang w:val="uk-UA" w:eastAsia="uk-UA"/>
                <w14:ligatures w14:val="none"/>
              </w:rPr>
            </w:pPr>
          </w:p>
          <w:p w14:paraId="45FEE81A"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4"/>
                <w:lang w:val="uk-UA" w:eastAsia="uk-UA"/>
                <w14:ligatures w14:val="none"/>
              </w:rPr>
            </w:pPr>
          </w:p>
        </w:tc>
        <w:tc>
          <w:tcPr>
            <w:tcW w:w="956"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F1B0410" w14:textId="77777777" w:rsidR="00B83176" w:rsidRPr="00B83176" w:rsidRDefault="00B83176" w:rsidP="00B83176">
            <w:pPr>
              <w:widowControl w:val="0"/>
              <w:tabs>
                <w:tab w:val="right" w:pos="6350"/>
              </w:tabs>
              <w:suppressAutoHyphens/>
              <w:autoSpaceDE w:val="0"/>
              <w:autoSpaceDN w:val="0"/>
              <w:adjustRightInd w:val="0"/>
              <w:spacing w:after="0" w:line="257" w:lineRule="auto"/>
              <w:jc w:val="center"/>
              <w:textAlignment w:val="center"/>
              <w:rPr>
                <w:rFonts w:eastAsia="Times New Roman" w:cs="Times New Roman"/>
                <w:color w:val="000000"/>
                <w:kern w:val="0"/>
                <w:sz w:val="20"/>
                <w:szCs w:val="24"/>
                <w:lang w:val="uk-UA" w:eastAsia="uk-UA"/>
                <w14:ligatures w14:val="none"/>
              </w:rPr>
            </w:pPr>
            <w:r w:rsidRPr="00B83176">
              <w:rPr>
                <w:rFonts w:eastAsia="Times New Roman" w:cs="Times New Roman"/>
                <w:color w:val="000000"/>
                <w:kern w:val="0"/>
                <w:sz w:val="20"/>
                <w:szCs w:val="24"/>
                <w:lang w:val="uk-UA" w:eastAsia="uk-UA"/>
                <w14:ligatures w14:val="none"/>
              </w:rPr>
              <w:lastRenderedPageBreak/>
              <w:t>Головним бухгалтером призначена на невизначений термiн, за наказом № 28-к вiд 28.02.2013р. Акцiями Товариства не володiє. Змiн  в персональному складi протягом року не було, непогашеної судимостi за корисливi та посадовi злочини  немає</w:t>
            </w:r>
          </w:p>
        </w:tc>
      </w:tr>
    </w:tbl>
    <w:p w14:paraId="4D1160E4" w14:textId="77777777" w:rsidR="00B83176" w:rsidRPr="00B83176" w:rsidRDefault="00B83176" w:rsidP="00B83176">
      <w:pPr>
        <w:widowControl w:val="0"/>
        <w:tabs>
          <w:tab w:val="right" w:pos="7710"/>
          <w:tab w:val="right" w:pos="11514"/>
        </w:tabs>
        <w:suppressAutoHyphens/>
        <w:autoSpaceDE w:val="0"/>
        <w:autoSpaceDN w:val="0"/>
        <w:adjustRightInd w:val="0"/>
        <w:spacing w:after="0" w:line="257" w:lineRule="auto"/>
        <w:ind w:firstLine="283"/>
        <w:jc w:val="both"/>
        <w:textAlignment w:val="center"/>
        <w:rPr>
          <w:rFonts w:ascii="Pragmatica-Book" w:eastAsia="Times New Roman" w:hAnsi="Pragmatica-Book" w:cs="Pragmatica-Book"/>
          <w:color w:val="000000"/>
          <w:w w:val="90"/>
          <w:kern w:val="0"/>
          <w:sz w:val="18"/>
          <w:szCs w:val="18"/>
          <w:lang w:val="uk-UA" w:eastAsia="uk-UA"/>
          <w14:ligatures w14:val="none"/>
        </w:rPr>
      </w:pPr>
    </w:p>
    <w:p w14:paraId="4540290F" w14:textId="77777777" w:rsidR="00F12C76" w:rsidRDefault="00F12C76" w:rsidP="006C0B77">
      <w:pPr>
        <w:spacing w:after="0"/>
        <w:ind w:firstLine="709"/>
        <w:jc w:val="both"/>
      </w:pPr>
    </w:p>
    <w:sectPr w:rsidR="00F12C76" w:rsidSect="00B83176">
      <w:pgSz w:w="16838" w:h="11906" w:orient="landscape"/>
      <w:pgMar w:top="1417" w:right="363" w:bottom="850" w:left="363"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Pragmatica-Book">
    <w:altName w:val="Times New Roman"/>
    <w:panose1 w:val="00000000000000000000"/>
    <w:charset w:val="00"/>
    <w:family w:val="auto"/>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176"/>
    <w:rsid w:val="00346127"/>
    <w:rsid w:val="006552F9"/>
    <w:rsid w:val="006C0B77"/>
    <w:rsid w:val="008242FF"/>
    <w:rsid w:val="00870751"/>
    <w:rsid w:val="00922C48"/>
    <w:rsid w:val="00B77AF3"/>
    <w:rsid w:val="00B83176"/>
    <w:rsid w:val="00B915B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7BE3C"/>
  <w15:chartTrackingRefBased/>
  <w15:docId w15:val="{AD1EFB75-DC3B-4A2B-9E8F-2DC586A3C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B83176"/>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B83176"/>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B83176"/>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B83176"/>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B83176"/>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B83176"/>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B83176"/>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B83176"/>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B83176"/>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83176"/>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B83176"/>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B83176"/>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B83176"/>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B83176"/>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B83176"/>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B83176"/>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B83176"/>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B83176"/>
    <w:rPr>
      <w:rFonts w:eastAsiaTheme="majorEastAsia" w:cstheme="majorBidi"/>
      <w:color w:val="272727" w:themeColor="text1" w:themeTint="D8"/>
      <w:sz w:val="28"/>
    </w:rPr>
  </w:style>
  <w:style w:type="paragraph" w:styleId="a3">
    <w:name w:val="Title"/>
    <w:basedOn w:val="a"/>
    <w:next w:val="a"/>
    <w:link w:val="a4"/>
    <w:uiPriority w:val="10"/>
    <w:qFormat/>
    <w:rsid w:val="00B83176"/>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8317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83176"/>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B8317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83176"/>
    <w:pPr>
      <w:spacing w:before="160"/>
      <w:jc w:val="center"/>
    </w:pPr>
    <w:rPr>
      <w:i/>
      <w:iCs/>
      <w:color w:val="404040" w:themeColor="text1" w:themeTint="BF"/>
    </w:rPr>
  </w:style>
  <w:style w:type="character" w:customStyle="1" w:styleId="22">
    <w:name w:val="Цитата 2 Знак"/>
    <w:basedOn w:val="a0"/>
    <w:link w:val="21"/>
    <w:uiPriority w:val="29"/>
    <w:rsid w:val="00B83176"/>
    <w:rPr>
      <w:rFonts w:ascii="Times New Roman" w:hAnsi="Times New Roman"/>
      <w:i/>
      <w:iCs/>
      <w:color w:val="404040" w:themeColor="text1" w:themeTint="BF"/>
      <w:sz w:val="28"/>
    </w:rPr>
  </w:style>
  <w:style w:type="paragraph" w:styleId="a7">
    <w:name w:val="List Paragraph"/>
    <w:basedOn w:val="a"/>
    <w:uiPriority w:val="34"/>
    <w:qFormat/>
    <w:rsid w:val="00B83176"/>
    <w:pPr>
      <w:ind w:left="720"/>
      <w:contextualSpacing/>
    </w:pPr>
  </w:style>
  <w:style w:type="character" w:styleId="a8">
    <w:name w:val="Intense Emphasis"/>
    <w:basedOn w:val="a0"/>
    <w:uiPriority w:val="21"/>
    <w:qFormat/>
    <w:rsid w:val="00B83176"/>
    <w:rPr>
      <w:i/>
      <w:iCs/>
      <w:color w:val="2E74B5" w:themeColor="accent1" w:themeShade="BF"/>
    </w:rPr>
  </w:style>
  <w:style w:type="paragraph" w:styleId="a9">
    <w:name w:val="Intense Quote"/>
    <w:basedOn w:val="a"/>
    <w:next w:val="a"/>
    <w:link w:val="aa"/>
    <w:uiPriority w:val="30"/>
    <w:qFormat/>
    <w:rsid w:val="00B8317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B83176"/>
    <w:rPr>
      <w:rFonts w:ascii="Times New Roman" w:hAnsi="Times New Roman"/>
      <w:i/>
      <w:iCs/>
      <w:color w:val="2E74B5" w:themeColor="accent1" w:themeShade="BF"/>
      <w:sz w:val="28"/>
    </w:rPr>
  </w:style>
  <w:style w:type="character" w:styleId="ab">
    <w:name w:val="Intense Reference"/>
    <w:basedOn w:val="a0"/>
    <w:uiPriority w:val="32"/>
    <w:qFormat/>
    <w:rsid w:val="00B83176"/>
    <w:rPr>
      <w:b/>
      <w:bCs/>
      <w:smallCaps/>
      <w:color w:val="2E74B5" w:themeColor="accent1" w:themeShade="BF"/>
      <w:spacing w:val="5"/>
    </w:rPr>
  </w:style>
  <w:style w:type="table" w:styleId="ac">
    <w:name w:val="Table Grid"/>
    <w:basedOn w:val="a1"/>
    <w:uiPriority w:val="39"/>
    <w:rsid w:val="00B83176"/>
    <w:pPr>
      <w:spacing w:after="0" w:line="240" w:lineRule="auto"/>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30</Pages>
  <Words>17145</Words>
  <Characters>97728</Characters>
  <Application>Microsoft Office Word</Application>
  <DocSecurity>0</DocSecurity>
  <Lines>814</Lines>
  <Paragraphs>229</Paragraphs>
  <ScaleCrop>false</ScaleCrop>
  <Company/>
  <LinksUpToDate>false</LinksUpToDate>
  <CharactersWithSpaces>114644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Svitlana Plytnyk</dc:creator>
  <cp:keywords/>
  <dc:description/>
  <cp:lastModifiedBy>Svitlana Plytnyk</cp:lastModifiedBy>
  <cp:revision>2</cp:revision>
  <dcterms:created xsi:type="dcterms:W3CDTF">2026-04-27T11:42:00Z</dcterms:created>
  <dcterms:modified xsi:type="dcterms:W3CDTF">2026-04-27T11:42:00Z</dcterms:modified>
</cp:coreProperties>
</file>